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center"/>
        <w:rPr>
          <w:rFonts w:cs="宋体"/>
          <w:b/>
          <w:bCs/>
          <w:sz w:val="44"/>
          <w:szCs w:val="44"/>
          <w:shd w:val="clear" w:color="auto" w:fill="FFFFFF"/>
        </w:rPr>
      </w:pPr>
    </w:p>
    <w:p>
      <w:pPr>
        <w:pStyle w:val="13"/>
        <w:spacing w:before="0" w:beforeAutospacing="0"/>
        <w:jc w:val="both"/>
        <w:rPr>
          <w:rFonts w:cs="宋体"/>
          <w:b/>
          <w:bCs/>
          <w:sz w:val="44"/>
          <w:szCs w:val="44"/>
          <w:shd w:val="clear" w:color="auto" w:fill="FFFFFF"/>
        </w:rPr>
      </w:pPr>
    </w:p>
    <w:p>
      <w:pPr>
        <w:pStyle w:val="13"/>
        <w:spacing w:before="0" w:beforeAutospacing="0"/>
        <w:jc w:val="center"/>
        <w:rPr>
          <w:rFonts w:cs="宋体"/>
          <w:b/>
          <w:bCs/>
          <w:sz w:val="44"/>
          <w:szCs w:val="44"/>
        </w:rPr>
      </w:pPr>
      <w:r>
        <w:rPr>
          <w:rFonts w:hint="eastAsia" w:cs="宋体"/>
          <w:b/>
          <w:bCs/>
          <w:sz w:val="44"/>
          <w:szCs w:val="44"/>
          <w:shd w:val="clear" w:color="auto" w:fill="FFFFFF"/>
        </w:rPr>
        <w:t>202</w:t>
      </w:r>
      <w:r>
        <w:rPr>
          <w:rFonts w:hint="eastAsia" w:cs="宋体"/>
          <w:b/>
          <w:bCs/>
          <w:sz w:val="44"/>
          <w:szCs w:val="44"/>
          <w:shd w:val="clear" w:color="auto" w:fill="FFFFFF"/>
          <w:lang w:val="en-US" w:eastAsia="zh-CN"/>
        </w:rPr>
        <w:t>1</w:t>
      </w:r>
      <w:r>
        <w:rPr>
          <w:rFonts w:hint="eastAsia" w:cs="宋体"/>
          <w:b/>
          <w:bCs/>
          <w:sz w:val="44"/>
          <w:szCs w:val="44"/>
          <w:shd w:val="clear" w:color="auto" w:fill="FFFFFF"/>
        </w:rPr>
        <w:t>年度</w:t>
      </w:r>
    </w:p>
    <w:p>
      <w:pPr>
        <w:pStyle w:val="13"/>
        <w:spacing w:before="0" w:beforeAutospacing="0"/>
        <w:jc w:val="center"/>
        <w:rPr>
          <w:shd w:val="clear" w:color="auto" w:fill="FFFFFF"/>
        </w:rPr>
      </w:pPr>
      <w:r>
        <w:rPr>
          <w:rFonts w:hint="eastAsia" w:cs="宋体"/>
          <w:b/>
          <w:bCs/>
          <w:sz w:val="44"/>
          <w:szCs w:val="44"/>
          <w:shd w:val="clear" w:color="auto" w:fill="FFFFFF"/>
        </w:rPr>
        <w:t>常德市武陵区人民检察院部门决算</w:t>
      </w:r>
    </w:p>
    <w:p>
      <w:pPr>
        <w:pStyle w:val="13"/>
        <w:spacing w:before="0" w:beforeAutospacing="0"/>
        <w:jc w:val="center"/>
        <w:rPr>
          <w:shd w:val="clear" w:color="auto" w:fill="FFFFFF"/>
        </w:rPr>
      </w:pPr>
    </w:p>
    <w:p>
      <w:pPr>
        <w:pStyle w:val="13"/>
        <w:adjustRightInd w:val="0"/>
        <w:snapToGrid w:val="0"/>
        <w:spacing w:before="0" w:beforeAutospacing="0" w:line="580" w:lineRule="exact"/>
        <w:jc w:val="center"/>
        <w:rPr>
          <w:b/>
          <w:bCs/>
          <w:sz w:val="32"/>
          <w:szCs w:val="32"/>
          <w:shd w:val="clear" w:color="auto" w:fill="FFFFFF"/>
        </w:rPr>
      </w:pPr>
    </w:p>
    <w:p>
      <w:pPr>
        <w:pStyle w:val="13"/>
        <w:adjustRightInd w:val="0"/>
        <w:snapToGrid w:val="0"/>
        <w:spacing w:before="0" w:beforeAutospacing="0" w:line="580" w:lineRule="exact"/>
        <w:jc w:val="center"/>
        <w:rPr>
          <w:shd w:val="clear" w:color="auto" w:fill="FFFFFF"/>
        </w:rPr>
        <w:sectPr>
          <w:headerReference r:id="rId3" w:type="default"/>
          <w:pgSz w:w="11915" w:h="16851"/>
          <w:pgMar w:top="1440" w:right="1800" w:bottom="1440" w:left="1800" w:header="851" w:footer="992" w:gutter="0"/>
          <w:cols w:space="720" w:num="1"/>
          <w:docGrid w:type="lines" w:linePitch="312" w:charSpace="0"/>
        </w:sectPr>
      </w:pPr>
    </w:p>
    <w:p>
      <w:pPr>
        <w:pStyle w:val="30"/>
        <w:snapToGrid w:val="0"/>
        <w:spacing w:line="580" w:lineRule="exact"/>
        <w:jc w:val="center"/>
        <w:rPr>
          <w:sz w:val="36"/>
          <w:szCs w:val="28"/>
        </w:rPr>
      </w:pPr>
      <w:r>
        <w:rPr>
          <w:rFonts w:hint="eastAsia"/>
          <w:sz w:val="36"/>
          <w:szCs w:val="28"/>
        </w:rPr>
        <w:t>目录</w:t>
      </w:r>
    </w:p>
    <w:p>
      <w:pPr>
        <w:pStyle w:val="30"/>
        <w:snapToGrid w:val="0"/>
        <w:spacing w:line="580" w:lineRule="exact"/>
        <w:ind w:firstLine="560" w:firstLineChars="200"/>
        <w:rPr>
          <w:rFonts w:ascii="仿宋_GB2312" w:hAnsi="仿宋_GB2312" w:cs="仿宋_GB2312"/>
          <w:sz w:val="28"/>
          <w:szCs w:val="28"/>
        </w:rPr>
      </w:pPr>
      <w:r>
        <w:rPr>
          <w:rFonts w:hint="eastAsia"/>
          <w:sz w:val="28"/>
          <w:szCs w:val="28"/>
        </w:rPr>
        <w:t>第一部分常德市武陵区人民检察院概况</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一、部门职责</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二、机构设置</w:t>
      </w:r>
    </w:p>
    <w:p>
      <w:pPr>
        <w:pStyle w:val="30"/>
        <w:snapToGrid w:val="0"/>
        <w:spacing w:line="580" w:lineRule="exact"/>
        <w:ind w:firstLine="560" w:firstLineChars="200"/>
        <w:rPr>
          <w:rFonts w:ascii="仿宋_GB2312" w:hAnsi="仿宋_GB2312" w:cs="仿宋_GB2312"/>
          <w:sz w:val="28"/>
          <w:szCs w:val="28"/>
        </w:rPr>
      </w:pPr>
      <w:r>
        <w:rPr>
          <w:rFonts w:hint="eastAsia" w:hAnsi="仿宋_GB2312"/>
          <w:sz w:val="28"/>
          <w:szCs w:val="28"/>
        </w:rPr>
        <w:t>第二部分</w:t>
      </w:r>
      <w:r>
        <w:rPr>
          <w:rFonts w:hAnsi="仿宋_GB2312"/>
          <w:sz w:val="28"/>
          <w:szCs w:val="28"/>
        </w:rPr>
        <w:t>20</w:t>
      </w:r>
      <w:r>
        <w:rPr>
          <w:rFonts w:hint="eastAsia" w:hAnsi="仿宋_GB2312"/>
          <w:sz w:val="28"/>
          <w:szCs w:val="28"/>
        </w:rPr>
        <w:t>2</w:t>
      </w:r>
      <w:r>
        <w:rPr>
          <w:rFonts w:hint="eastAsia" w:hAnsi="仿宋_GB2312"/>
          <w:sz w:val="28"/>
          <w:szCs w:val="28"/>
          <w:lang w:val="en-US" w:eastAsia="zh-CN"/>
        </w:rPr>
        <w:t>1</w:t>
      </w:r>
      <w:r>
        <w:rPr>
          <w:rFonts w:hint="eastAsia" w:hAnsi="仿宋_GB2312"/>
          <w:sz w:val="28"/>
          <w:szCs w:val="28"/>
        </w:rPr>
        <w:t>年度部门决算表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二、收入决算表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三、支出决算表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四、财政拨款收入支出决算总表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五、一般公共预算财政拨款支出决算表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六、一般公共预算财政拨款基本支出决算</w:t>
      </w:r>
      <w:r>
        <w:rPr>
          <w:rFonts w:hint="eastAsia" w:ascii="仿宋_GB2312" w:eastAsia="仿宋_GB2312" w:cs="仿宋_GB2312" w:hAnsiTheme="minorEastAsia"/>
          <w:sz w:val="28"/>
          <w:szCs w:val="28"/>
          <w:lang w:eastAsia="zh-CN"/>
        </w:rPr>
        <w:t>明细</w:t>
      </w:r>
      <w:r>
        <w:rPr>
          <w:rFonts w:hint="eastAsia" w:ascii="仿宋_GB2312" w:eastAsia="仿宋_GB2312" w:cs="仿宋_GB2312" w:hAnsiTheme="minorEastAsia"/>
          <w:sz w:val="28"/>
          <w:szCs w:val="28"/>
        </w:rPr>
        <w:t>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七、一般公共预算财政拨款“三公”经费支出决算表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八、政府性基金预算财政拨款收入支出决算表</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九、国有资本经营预算财政拨款支出决算表</w:t>
      </w:r>
    </w:p>
    <w:p>
      <w:pPr>
        <w:pStyle w:val="30"/>
        <w:snapToGrid w:val="0"/>
        <w:spacing w:line="580" w:lineRule="exact"/>
        <w:ind w:firstLine="560" w:firstLineChars="200"/>
        <w:rPr>
          <w:rFonts w:ascii="仿宋_GB2312" w:hAnsi="仿宋_GB2312" w:cs="仿宋_GB2312"/>
          <w:sz w:val="28"/>
          <w:szCs w:val="28"/>
        </w:rPr>
      </w:pPr>
      <w:r>
        <w:rPr>
          <w:rFonts w:hint="eastAsia" w:hAnsi="仿宋_GB2312"/>
          <w:sz w:val="28"/>
          <w:szCs w:val="28"/>
        </w:rPr>
        <w:t>第三部分</w:t>
      </w:r>
      <w:r>
        <w:rPr>
          <w:rFonts w:hAnsi="仿宋_GB2312"/>
          <w:sz w:val="28"/>
          <w:szCs w:val="28"/>
        </w:rPr>
        <w:t>20</w:t>
      </w:r>
      <w:r>
        <w:rPr>
          <w:rFonts w:hint="eastAsia" w:hAnsi="仿宋_GB2312"/>
          <w:sz w:val="28"/>
          <w:szCs w:val="28"/>
        </w:rPr>
        <w:t>2</w:t>
      </w:r>
      <w:r>
        <w:rPr>
          <w:rFonts w:hint="eastAsia" w:hAnsi="仿宋_GB2312"/>
          <w:sz w:val="28"/>
          <w:szCs w:val="28"/>
          <w:lang w:val="en-US" w:eastAsia="zh-CN"/>
        </w:rPr>
        <w:t>1</w:t>
      </w:r>
      <w:r>
        <w:rPr>
          <w:rFonts w:hint="eastAsia" w:hAnsi="仿宋_GB2312"/>
          <w:sz w:val="28"/>
          <w:szCs w:val="28"/>
        </w:rPr>
        <w:t>年度部门决算情况说明</w:t>
      </w:r>
    </w:p>
    <w:p>
      <w:pPr>
        <w:pStyle w:val="30"/>
        <w:snapToGrid w:val="0"/>
        <w:spacing w:line="580" w:lineRule="exact"/>
        <w:ind w:firstLine="560" w:firstLineChars="200"/>
        <w:rPr>
          <w:rFonts w:ascii="仿宋_GB2312" w:eastAsia="仿宋_GB2312" w:cs="仿宋_GB2312" w:hAnsiTheme="minorEastAsia"/>
          <w:sz w:val="28"/>
          <w:szCs w:val="28"/>
        </w:rPr>
      </w:pPr>
      <w:r>
        <w:rPr>
          <w:rFonts w:hint="eastAsia" w:ascii="仿宋_GB2312" w:eastAsia="仿宋_GB2312" w:cs="仿宋_GB2312" w:hAnsiTheme="minorEastAsia"/>
          <w:sz w:val="28"/>
          <w:szCs w:val="28"/>
        </w:rPr>
        <w:t>一、收入支出决算总体情况说明</w:t>
      </w:r>
    </w:p>
    <w:p>
      <w:pPr>
        <w:adjustRightInd w:val="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三、支出决算情况说明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四、财政拨款收入支出决算总体情况说明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五、一般公共预算财政拨款支出决算情况说明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六、一般公共预算财政拨款基本支出决算情况说明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七、一般公共预算财政拨款</w:t>
      </w:r>
      <w:r>
        <w:rPr>
          <w:rFonts w:hint="eastAsia" w:ascii="仿宋_GB2312" w:hAnsi="仿宋_GB2312" w:eastAsia="仿宋_GB2312" w:cs="仿宋_GB2312"/>
          <w:color w:val="000000"/>
          <w:sz w:val="28"/>
          <w:szCs w:val="28"/>
          <w:lang w:eastAsia="zh-CN"/>
        </w:rPr>
        <w:t>“三公”</w:t>
      </w:r>
      <w:r>
        <w:rPr>
          <w:rFonts w:hint="eastAsia" w:ascii="仿宋_GB2312" w:hAnsi="仿宋_GB2312" w:eastAsia="仿宋_GB2312" w:cs="仿宋_GB2312"/>
          <w:color w:val="000000"/>
          <w:sz w:val="28"/>
          <w:szCs w:val="28"/>
        </w:rPr>
        <w:t>经费支出决算情况说明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八、政府性基金预算收入支出决算情况</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九、机关运行经费支出说明</w:t>
      </w:r>
    </w:p>
    <w:p>
      <w:pPr>
        <w:autoSpaceDE w:val="0"/>
        <w:autoSpaceDN w:val="0"/>
        <w:adjustRightInd w:val="0"/>
        <w:snapToGrid w:val="0"/>
        <w:spacing w:line="58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十、一般性支出情况</w:t>
      </w:r>
      <w:r>
        <w:rPr>
          <w:rFonts w:hint="eastAsia" w:ascii="仿宋_GB2312" w:hAnsi="仿宋_GB2312" w:eastAsia="仿宋_GB2312" w:cs="仿宋_GB2312"/>
          <w:color w:val="000000"/>
          <w:sz w:val="28"/>
          <w:szCs w:val="28"/>
          <w:lang w:eastAsia="zh-CN"/>
        </w:rPr>
        <w:t>说明</w:t>
      </w:r>
    </w:p>
    <w:p>
      <w:pPr>
        <w:autoSpaceDE w:val="0"/>
        <w:autoSpaceDN w:val="0"/>
        <w:adjustRightInd w:val="0"/>
        <w:snapToGrid w:val="0"/>
        <w:spacing w:line="58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十一、政府采购支出说明</w:t>
      </w:r>
    </w:p>
    <w:p>
      <w:pPr>
        <w:pStyle w:val="3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十二、国有资产占用情况说明</w:t>
      </w:r>
    </w:p>
    <w:p>
      <w:pPr>
        <w:pStyle w:val="30"/>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w:t>
      </w:r>
      <w:r>
        <w:rPr>
          <w:rFonts w:hint="eastAsia" w:ascii="仿宋_GB2312" w:eastAsia="仿宋_GB2312" w:cs="仿宋_GB2312" w:hAnsiTheme="minorEastAsia"/>
          <w:sz w:val="28"/>
          <w:szCs w:val="28"/>
        </w:rPr>
        <w:t>202</w:t>
      </w:r>
      <w:r>
        <w:rPr>
          <w:rFonts w:hint="eastAsia" w:ascii="仿宋_GB2312" w:eastAsia="仿宋_GB2312" w:cs="仿宋_GB2312" w:hAnsiTheme="minorEastAsia"/>
          <w:sz w:val="28"/>
          <w:szCs w:val="28"/>
          <w:lang w:val="en-US" w:eastAsia="zh-CN"/>
        </w:rPr>
        <w:t>1</w:t>
      </w:r>
      <w:r>
        <w:rPr>
          <w:rFonts w:hint="eastAsia" w:ascii="仿宋_GB2312" w:eastAsia="仿宋_GB2312" w:cs="仿宋_GB2312" w:hAnsiTheme="minorEastAsia"/>
          <w:sz w:val="28"/>
          <w:szCs w:val="28"/>
        </w:rPr>
        <w:t>年</w:t>
      </w:r>
      <w:r>
        <w:rPr>
          <w:rFonts w:hint="eastAsia" w:ascii="仿宋_GB2312" w:hAnsi="仿宋_GB2312" w:eastAsia="仿宋_GB2312" w:cs="仿宋_GB2312"/>
          <w:sz w:val="28"/>
          <w:szCs w:val="28"/>
        </w:rPr>
        <w:t>度预算绩效情况的说明</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ascii="黑体" w:hAnsi="黑体" w:eastAsia="黑体" w:cs="黑体"/>
          <w:color w:val="000000"/>
          <w:sz w:val="28"/>
          <w:szCs w:val="28"/>
        </w:rPr>
        <w:t>第四部分名词解释</w:t>
      </w:r>
    </w:p>
    <w:p>
      <w:pPr>
        <w:autoSpaceDE w:val="0"/>
        <w:autoSpaceDN w:val="0"/>
        <w:adjustRightInd w:val="0"/>
        <w:snapToGrid w:val="0"/>
        <w:spacing w:line="580" w:lineRule="exact"/>
        <w:ind w:firstLine="560" w:firstLineChars="200"/>
        <w:rPr>
          <w:rFonts w:ascii="黑体" w:hAnsi="黑体" w:eastAsia="黑体" w:cs="黑体"/>
          <w:color w:val="000000"/>
          <w:sz w:val="28"/>
          <w:szCs w:val="28"/>
        </w:rPr>
      </w:pPr>
      <w:r>
        <w:rPr>
          <w:rFonts w:hint="eastAsia" w:ascii="黑体" w:hAnsi="黑体" w:eastAsia="黑体" w:cs="黑体"/>
          <w:color w:val="000000"/>
          <w:sz w:val="28"/>
          <w:szCs w:val="28"/>
        </w:rPr>
        <w:t>第五部分附件</w:t>
      </w:r>
    </w:p>
    <w:p>
      <w:pPr>
        <w:pStyle w:val="30"/>
        <w:spacing w:line="500" w:lineRule="exact"/>
        <w:ind w:firstLine="700" w:firstLineChars="250"/>
        <w:rPr>
          <w:rFonts w:ascii="仿宋_GB2312" w:hAnsi="仿宋_GB2312" w:eastAsia="仿宋_GB2312" w:cs="仿宋_GB2312"/>
          <w:sz w:val="28"/>
          <w:szCs w:val="28"/>
        </w:rPr>
      </w:pPr>
    </w:p>
    <w:p>
      <w:pPr>
        <w:pStyle w:val="13"/>
        <w:spacing w:before="0" w:beforeAutospacing="0"/>
        <w:jc w:val="center"/>
        <w:rPr>
          <w:shd w:val="clear" w:color="auto" w:fill="FFFFFF"/>
        </w:rPr>
        <w:sectPr>
          <w:footerReference r:id="rId4" w:type="default"/>
          <w:pgSz w:w="11915" w:h="16851"/>
          <w:pgMar w:top="1440" w:right="1800" w:bottom="1440" w:left="1800" w:header="851" w:footer="992" w:gutter="0"/>
          <w:pgNumType w:start="1"/>
          <w:cols w:space="720" w:num="1"/>
          <w:docGrid w:type="lines" w:linePitch="312" w:charSpace="0"/>
        </w:sectPr>
      </w:pPr>
    </w:p>
    <w:p>
      <w:pPr>
        <w:pStyle w:val="13"/>
        <w:adjustRightInd w:val="0"/>
        <w:snapToGrid w:val="0"/>
        <w:spacing w:before="0" w:beforeAutospacing="0" w:after="0" w:afterAutospacing="0" w:line="560" w:lineRule="exact"/>
        <w:ind w:firstLine="880" w:firstLineChars="200"/>
        <w:jc w:val="center"/>
        <w:outlineLvl w:val="0"/>
        <w:rPr>
          <w:rFonts w:ascii="黑体" w:hAnsi="黑体" w:eastAsia="黑体" w:cs="黑体"/>
          <w:sz w:val="32"/>
          <w:szCs w:val="32"/>
          <w:shd w:val="clear" w:color="auto" w:fill="FFFFFF"/>
        </w:rPr>
      </w:pPr>
      <w:bookmarkStart w:id="0" w:name="_Toc6365"/>
      <w:r>
        <w:rPr>
          <w:rFonts w:hint="eastAsia" w:ascii="黑体" w:hAnsi="黑体" w:eastAsia="黑体" w:cs="黑体"/>
          <w:sz w:val="44"/>
          <w:szCs w:val="44"/>
          <w:shd w:val="clear" w:color="auto" w:fill="FFFFFF"/>
        </w:rPr>
        <w:t>第一部分 常德市武陵区人民检察院概况</w:t>
      </w:r>
      <w:bookmarkEnd w:id="0"/>
    </w:p>
    <w:p>
      <w:pPr>
        <w:pStyle w:val="13"/>
        <w:adjustRightInd w:val="0"/>
        <w:snapToGrid w:val="0"/>
        <w:spacing w:before="0" w:beforeAutospacing="0" w:after="0" w:afterAutospacing="0" w:line="560" w:lineRule="exact"/>
        <w:ind w:left="480" w:leftChars="200"/>
        <w:outlineLvl w:val="1"/>
        <w:rPr>
          <w:rFonts w:ascii="楷体_GB2312" w:hAnsi="楷体" w:eastAsia="楷体_GB2312" w:cs="楷体"/>
          <w:b/>
          <w:bCs/>
          <w:sz w:val="32"/>
          <w:szCs w:val="32"/>
          <w:shd w:val="clear" w:color="auto" w:fill="FFFFFF"/>
        </w:rPr>
      </w:pPr>
      <w:bookmarkStart w:id="1" w:name="_Toc4526"/>
      <w:bookmarkStart w:id="2" w:name="_Toc26770"/>
      <w:r>
        <w:rPr>
          <w:rFonts w:hint="eastAsia" w:ascii="楷体_GB2312" w:hAnsi="楷体" w:eastAsia="楷体_GB2312" w:cs="楷体"/>
          <w:sz w:val="32"/>
          <w:szCs w:val="32"/>
          <w:shd w:val="clear" w:color="auto" w:fill="FFFFFF"/>
        </w:rPr>
        <w:t>一、部门职责</w:t>
      </w:r>
      <w:bookmarkEnd w:id="1"/>
      <w:bookmarkEnd w:id="2"/>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根据《宪法》和《人民检察院组织法》规定，常德市武陵区人民检察院作为国家法律监督机关，接受上级人民检察院的领导，对武陵区人民代表大会及其常务委员会负责并报告工作。其主要职责是：</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1.深入贯彻习近平新时代中国特色社会主义思想，深入贯彻党的路线方针政策和决策部署，坚持党对检察工作的绝对领导，坚决维护习近平总书记的核心地位，坚决维护党中央权威和集中统一领导。</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2.贯彻落实上级人民检察院的各项工作部署，研究制定检察工作规划，部署检察工作任务。</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3.依照法律规定对由区人民检察院直接受理的刑事案件行使侦查权。</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4.对刑事案件依法审查批准逮捕、决定逮捕、提起公诉。</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5.负责应由区人民检察院承办的刑事、民事、行政诉讼活动及刑事、民事、行政判决和裁定等生效法律文书执行的法律监督工作。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6.负责应由区人民检察院承办的提起公益诉讼工作。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7.负责应由区人民检察院承办的对看守所、社区矫正机构等执法活动的法律监督工作。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8.受理向区人民检察院的控告申诉。</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9.负责检察机关的理论研究工作。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10.负责检察机关队伍建设和思想政治工作。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11.负责检务督察工作。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12.负责检察机关财物装备和检察技术信息工作。</w:t>
      </w:r>
    </w:p>
    <w:p>
      <w:pPr>
        <w:spacing w:line="580" w:lineRule="exact"/>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13.负责其他应当由区人民检察院承办的事项。</w:t>
      </w:r>
    </w:p>
    <w:p>
      <w:pPr>
        <w:pStyle w:val="13"/>
        <w:adjustRightInd w:val="0"/>
        <w:snapToGrid w:val="0"/>
        <w:spacing w:before="0" w:beforeAutospacing="0" w:after="0" w:afterAutospacing="0" w:line="560" w:lineRule="exact"/>
        <w:ind w:firstLine="640" w:firstLineChars="200"/>
        <w:outlineLvl w:val="1"/>
        <w:rPr>
          <w:rFonts w:ascii="楷体_GB2312" w:hAnsi="黑体" w:eastAsia="楷体_GB2312" w:cs="黑体"/>
          <w:sz w:val="32"/>
          <w:szCs w:val="32"/>
        </w:rPr>
      </w:pPr>
      <w:bookmarkStart w:id="3" w:name="_Toc27540"/>
      <w:bookmarkStart w:id="4" w:name="_Toc647"/>
      <w:r>
        <w:rPr>
          <w:rFonts w:hint="eastAsia" w:ascii="楷体_GB2312" w:hAnsi="楷体" w:eastAsia="楷体_GB2312" w:cs="楷体"/>
          <w:sz w:val="32"/>
          <w:szCs w:val="32"/>
          <w:shd w:val="clear" w:color="auto" w:fill="FFFFFF"/>
        </w:rPr>
        <w:t>二、机构设置</w:t>
      </w:r>
      <w:bookmarkEnd w:id="3"/>
      <w:bookmarkEnd w:id="4"/>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（一）内设机构设置。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常德市武陵区</w:t>
      </w:r>
      <w:r>
        <w:rPr>
          <w:rFonts w:ascii="仿宋_GB2312" w:eastAsia="仿宋_GB2312"/>
          <w:sz w:val="32"/>
          <w:szCs w:val="32"/>
        </w:rPr>
        <w:t>人民检察院</w:t>
      </w:r>
      <w:r>
        <w:rPr>
          <w:rFonts w:hint="eastAsia" w:ascii="仿宋_GB2312" w:eastAsia="仿宋_GB2312"/>
          <w:sz w:val="32"/>
          <w:szCs w:val="32"/>
        </w:rPr>
        <w:t>机关本级现有8个内设机构，分别为：</w:t>
      </w:r>
      <w:r>
        <w:rPr>
          <w:rFonts w:ascii="仿宋_GB2312" w:eastAsia="仿宋_GB2312"/>
          <w:sz w:val="32"/>
          <w:szCs w:val="32"/>
        </w:rPr>
        <w:t>办公室、第一检察部、第二检察部、第三检察部、第四检察部、第五检察部、第六检察部、</w:t>
      </w:r>
      <w:r>
        <w:rPr>
          <w:rFonts w:hint="eastAsia" w:ascii="仿宋_GB2312" w:eastAsia="仿宋_GB2312"/>
          <w:sz w:val="32"/>
          <w:szCs w:val="32"/>
        </w:rPr>
        <w:t>政治部（司法警察大队）。</w:t>
      </w:r>
    </w:p>
    <w:p>
      <w:pPr>
        <w:adjustRightInd w:val="0"/>
        <w:snapToGrid w:val="0"/>
        <w:spacing w:line="560" w:lineRule="exact"/>
        <w:ind w:firstLine="640" w:firstLineChars="200"/>
        <w:rPr>
          <w:rFonts w:ascii="楷体_GB2312" w:hAnsi="楷体" w:eastAsia="楷体_GB2312" w:cs="楷体"/>
          <w:sz w:val="32"/>
          <w:szCs w:val="32"/>
          <w:shd w:val="clear" w:color="auto" w:fill="FFFFFF"/>
        </w:rPr>
      </w:pPr>
      <w:r>
        <w:rPr>
          <w:rFonts w:hint="eastAsia" w:ascii="楷体_GB2312" w:hAnsi="楷体" w:eastAsia="楷体_GB2312" w:cs="楷体"/>
          <w:sz w:val="32"/>
          <w:szCs w:val="32"/>
          <w:shd w:val="clear" w:color="auto" w:fill="FFFFFF"/>
        </w:rPr>
        <w:t>（二）决算单位构成。</w:t>
      </w:r>
    </w:p>
    <w:p>
      <w:pPr>
        <w:adjustRightInd w:val="0"/>
        <w:snapToGrid w:val="0"/>
        <w:spacing w:line="560" w:lineRule="exact"/>
        <w:ind w:firstLine="640" w:firstLineChars="200"/>
        <w:rPr>
          <w:rStyle w:val="16"/>
          <w:shd w:val="clear" w:color="auto" w:fill="FFFFFF"/>
        </w:rPr>
      </w:pPr>
      <w:bookmarkStart w:id="5" w:name="_Toc30556"/>
      <w:r>
        <w:rPr>
          <w:rFonts w:hint="eastAsia" w:ascii="仿宋_GB2312" w:eastAsia="仿宋_GB2312"/>
          <w:sz w:val="32"/>
          <w:szCs w:val="32"/>
        </w:rPr>
        <w:t>常德市武陵区人民检察院202</w:t>
      </w:r>
      <w:r>
        <w:rPr>
          <w:rFonts w:hint="eastAsia" w:ascii="仿宋_GB2312" w:eastAsia="仿宋_GB2312"/>
          <w:sz w:val="32"/>
          <w:szCs w:val="32"/>
          <w:lang w:val="en-US" w:eastAsia="zh-CN"/>
        </w:rPr>
        <w:t>1</w:t>
      </w:r>
      <w:r>
        <w:rPr>
          <w:rFonts w:hint="eastAsia" w:ascii="仿宋_GB2312" w:eastAsia="仿宋_GB2312"/>
          <w:sz w:val="32"/>
          <w:szCs w:val="32"/>
        </w:rPr>
        <w:t>年部门决算包含的主体范围是机关本级。</w:t>
      </w:r>
    </w:p>
    <w:p>
      <w:pPr>
        <w:rPr>
          <w:rStyle w:val="16"/>
          <w:rFonts w:ascii="黑体" w:hAnsi="黑体" w:eastAsia="黑体" w:cs="黑体"/>
          <w:sz w:val="44"/>
          <w:szCs w:val="44"/>
          <w:shd w:val="clear" w:color="auto" w:fill="FFFFFF"/>
        </w:rPr>
      </w:pPr>
      <w:r>
        <w:rPr>
          <w:rStyle w:val="16"/>
          <w:rFonts w:ascii="黑体" w:hAnsi="黑体" w:eastAsia="黑体" w:cs="黑体"/>
          <w:sz w:val="44"/>
          <w:szCs w:val="44"/>
          <w:shd w:val="clear" w:color="auto" w:fill="FFFFFF"/>
        </w:rPr>
        <w:br w:type="page"/>
      </w:r>
    </w:p>
    <w:p>
      <w:pPr>
        <w:pStyle w:val="13"/>
        <w:spacing w:before="0" w:beforeAutospacing="0"/>
        <w:jc w:val="center"/>
        <w:outlineLvl w:val="0"/>
        <w:rPr>
          <w:rStyle w:val="16"/>
          <w:rFonts w:ascii="黑体" w:hAnsi="黑体" w:eastAsia="黑体" w:cs="黑体"/>
          <w:sz w:val="44"/>
          <w:szCs w:val="44"/>
          <w:shd w:val="clear" w:color="auto" w:fill="FFFFFF"/>
        </w:rPr>
      </w:pPr>
      <w:r>
        <w:rPr>
          <w:rStyle w:val="16"/>
          <w:rFonts w:hint="eastAsia" w:ascii="黑体" w:hAnsi="黑体" w:eastAsia="黑体" w:cs="黑体"/>
          <w:sz w:val="44"/>
          <w:szCs w:val="44"/>
          <w:shd w:val="clear" w:color="auto" w:fill="FFFFFF"/>
        </w:rPr>
        <w:t>第二部分 202</w:t>
      </w:r>
      <w:r>
        <w:rPr>
          <w:rStyle w:val="16"/>
          <w:rFonts w:hint="eastAsia" w:ascii="黑体" w:hAnsi="黑体" w:eastAsia="黑体" w:cs="黑体"/>
          <w:sz w:val="44"/>
          <w:szCs w:val="44"/>
          <w:shd w:val="clear" w:color="auto" w:fill="FFFFFF"/>
          <w:lang w:val="en-US" w:eastAsia="zh-CN"/>
        </w:rPr>
        <w:t>1</w:t>
      </w:r>
      <w:r>
        <w:rPr>
          <w:rStyle w:val="16"/>
          <w:rFonts w:hint="eastAsia" w:ascii="黑体" w:hAnsi="黑体" w:eastAsia="黑体" w:cs="黑体"/>
          <w:sz w:val="44"/>
          <w:szCs w:val="44"/>
          <w:shd w:val="clear" w:color="auto" w:fill="FFFFFF"/>
        </w:rPr>
        <w:t>年度部门决算表</w:t>
      </w:r>
      <w:bookmarkEnd w:id="5"/>
    </w:p>
    <w:p>
      <w:pPr>
        <w:pStyle w:val="13"/>
        <w:adjustRightInd w:val="0"/>
        <w:snapToGrid w:val="0"/>
        <w:spacing w:before="0" w:beforeAutospacing="0" w:after="0" w:afterAutospacing="0" w:line="400" w:lineRule="exact"/>
        <w:outlineLvl w:val="1"/>
        <w:rPr>
          <w:rStyle w:val="16"/>
          <w:rFonts w:ascii="楷体_GB2312" w:hAnsi="楷体" w:eastAsia="楷体_GB2312" w:cs="楷体"/>
          <w:sz w:val="32"/>
          <w:szCs w:val="32"/>
          <w:shd w:val="clear" w:color="auto" w:fill="FFFFFF"/>
        </w:rPr>
      </w:pPr>
      <w:bookmarkStart w:id="6" w:name="_Toc5134"/>
      <w:r>
        <w:rPr>
          <w:rFonts w:hint="eastAsia" w:ascii="楷体_GB2312" w:hAnsi="楷体" w:eastAsia="楷体_GB2312" w:cs="楷体"/>
          <w:sz w:val="32"/>
          <w:szCs w:val="32"/>
          <w:shd w:val="clear" w:color="auto" w:fill="FFFFFF"/>
        </w:rPr>
        <w:t>一、收入支出决算总表</w:t>
      </w:r>
      <w:bookmarkEnd w:id="6"/>
    </w:p>
    <w:tbl>
      <w:tblPr>
        <w:tblStyle w:val="14"/>
        <w:tblW w:w="5597" w:type="pct"/>
        <w:tblInd w:w="-176" w:type="dxa"/>
        <w:shd w:val="clear" w:color="auto" w:fill="auto"/>
        <w:tblLayout w:type="fixed"/>
        <w:tblCellMar>
          <w:top w:w="0" w:type="dxa"/>
          <w:left w:w="108" w:type="dxa"/>
          <w:bottom w:w="0" w:type="dxa"/>
          <w:right w:w="108" w:type="dxa"/>
        </w:tblCellMar>
      </w:tblPr>
      <w:tblGrid>
        <w:gridCol w:w="2820"/>
        <w:gridCol w:w="445"/>
        <w:gridCol w:w="76"/>
        <w:gridCol w:w="351"/>
        <w:gridCol w:w="1270"/>
        <w:gridCol w:w="2328"/>
        <w:gridCol w:w="424"/>
        <w:gridCol w:w="1836"/>
      </w:tblGrid>
      <w:tr>
        <w:tblPrEx>
          <w:tblCellMar>
            <w:top w:w="0" w:type="dxa"/>
            <w:left w:w="108" w:type="dxa"/>
            <w:bottom w:w="0" w:type="dxa"/>
            <w:right w:w="108" w:type="dxa"/>
          </w:tblCellMar>
        </w:tblPrEx>
        <w:trPr>
          <w:trHeight w:val="300" w:hRule="atLeast"/>
        </w:trPr>
        <w:tc>
          <w:tcPr>
            <w:tcW w:w="1476"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272" w:type="pct"/>
            <w:gridSpan w:val="2"/>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848" w:type="pct"/>
            <w:gridSpan w:val="2"/>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218"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221"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961" w:type="pct"/>
            <w:tcBorders>
              <w:top w:val="nil"/>
              <w:left w:val="nil"/>
              <w:bottom w:val="nil"/>
              <w:right w:val="single" w:color="808080" w:sz="4" w:space="0"/>
            </w:tcBorders>
            <w:shd w:val="clear" w:color="auto" w:fill="auto"/>
            <w:noWrap/>
            <w:vAlign w:val="center"/>
          </w:tcPr>
          <w:p>
            <w:pPr>
              <w:jc w:val="right"/>
              <w:rPr>
                <w:rFonts w:cs="Arial"/>
                <w:color w:val="000000"/>
                <w:sz w:val="22"/>
                <w:szCs w:val="22"/>
              </w:rPr>
            </w:pPr>
            <w:r>
              <w:rPr>
                <w:rFonts w:hint="eastAsia" w:cs="Arial"/>
                <w:color w:val="000000"/>
                <w:sz w:val="22"/>
                <w:szCs w:val="22"/>
              </w:rPr>
              <w:t>公开01表</w:t>
            </w:r>
          </w:p>
        </w:tc>
      </w:tr>
      <w:tr>
        <w:tblPrEx>
          <w:tblCellMar>
            <w:top w:w="0" w:type="dxa"/>
            <w:left w:w="108" w:type="dxa"/>
            <w:bottom w:w="0" w:type="dxa"/>
            <w:right w:w="108" w:type="dxa"/>
          </w:tblCellMar>
        </w:tblPrEx>
        <w:trPr>
          <w:trHeight w:val="300" w:hRule="atLeast"/>
        </w:trPr>
        <w:tc>
          <w:tcPr>
            <w:tcW w:w="1749" w:type="pct"/>
            <w:gridSpan w:val="3"/>
            <w:tcBorders>
              <w:top w:val="nil"/>
              <w:left w:val="nil"/>
              <w:bottom w:val="single" w:color="808080" w:sz="4" w:space="0"/>
              <w:right w:val="nil"/>
            </w:tcBorders>
            <w:shd w:val="clear" w:color="auto" w:fill="auto"/>
            <w:noWrap/>
            <w:vAlign w:val="center"/>
          </w:tcPr>
          <w:p>
            <w:pPr>
              <w:rPr>
                <w:rFonts w:cs="Arial"/>
                <w:color w:val="000000"/>
                <w:sz w:val="22"/>
                <w:szCs w:val="22"/>
              </w:rPr>
            </w:pPr>
            <w:r>
              <w:rPr>
                <w:rFonts w:hint="eastAsia" w:cs="Arial"/>
                <w:color w:val="000000"/>
                <w:sz w:val="22"/>
                <w:szCs w:val="22"/>
              </w:rPr>
              <w:t>部门：常德市武陵区人民检察院</w:t>
            </w:r>
          </w:p>
        </w:tc>
        <w:tc>
          <w:tcPr>
            <w:tcW w:w="848" w:type="pct"/>
            <w:gridSpan w:val="2"/>
            <w:tcBorders>
              <w:top w:val="nil"/>
              <w:left w:val="nil"/>
              <w:bottom w:val="single" w:color="808080" w:sz="4" w:space="0"/>
              <w:right w:val="nil"/>
            </w:tcBorders>
            <w:shd w:val="clear" w:color="auto" w:fill="auto"/>
            <w:noWrap/>
            <w:vAlign w:val="center"/>
          </w:tcPr>
          <w:p>
            <w:pPr>
              <w:jc w:val="center"/>
              <w:rPr>
                <w:rFonts w:cs="Arial"/>
                <w:color w:val="000000"/>
              </w:rPr>
            </w:pPr>
            <w:r>
              <w:rPr>
                <w:rFonts w:hint="eastAsia" w:cs="Arial"/>
                <w:color w:val="000000"/>
              </w:rPr>
              <w:t xml:space="preserve">  </w:t>
            </w:r>
            <w:r>
              <w:rPr>
                <w:rFonts w:hint="eastAsia" w:cs="Arial"/>
                <w:color w:val="000000"/>
                <w:lang w:val="en-US" w:eastAsia="zh-CN"/>
              </w:rPr>
              <w:t xml:space="preserve">   </w:t>
            </w:r>
            <w:r>
              <w:rPr>
                <w:rFonts w:hint="eastAsia" w:cs="Arial"/>
                <w:color w:val="000000"/>
              </w:rPr>
              <w:t>202</w:t>
            </w:r>
            <w:r>
              <w:rPr>
                <w:rFonts w:hint="eastAsia" w:cs="Arial"/>
                <w:color w:val="000000"/>
                <w:lang w:val="en-US" w:eastAsia="zh-CN"/>
              </w:rPr>
              <w:t>1</w:t>
            </w:r>
            <w:r>
              <w:rPr>
                <w:rFonts w:hint="eastAsia" w:cs="Arial"/>
                <w:color w:val="000000"/>
              </w:rPr>
              <w:t>年度</w:t>
            </w:r>
          </w:p>
        </w:tc>
        <w:tc>
          <w:tcPr>
            <w:tcW w:w="1218" w:type="pct"/>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221" w:type="pct"/>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961" w:type="pct"/>
            <w:tcBorders>
              <w:top w:val="nil"/>
              <w:left w:val="nil"/>
              <w:bottom w:val="single" w:color="808080" w:sz="4" w:space="0"/>
              <w:right w:val="single" w:color="808080" w:sz="4" w:space="0"/>
            </w:tcBorders>
            <w:shd w:val="clear" w:color="auto" w:fill="auto"/>
            <w:noWrap/>
            <w:vAlign w:val="center"/>
          </w:tcPr>
          <w:p>
            <w:pPr>
              <w:jc w:val="right"/>
              <w:rPr>
                <w:rFonts w:cs="Arial"/>
                <w:color w:val="000000"/>
                <w:sz w:val="22"/>
                <w:szCs w:val="22"/>
              </w:rPr>
            </w:pPr>
            <w:r>
              <w:rPr>
                <w:rFonts w:hint="eastAsia" w:cs="Arial"/>
                <w:color w:val="000000"/>
                <w:sz w:val="22"/>
                <w:szCs w:val="22"/>
              </w:rPr>
              <w:t>单位：万元</w:t>
            </w:r>
          </w:p>
        </w:tc>
      </w:tr>
      <w:tr>
        <w:tblPrEx>
          <w:tblCellMar>
            <w:top w:w="0" w:type="dxa"/>
            <w:left w:w="108" w:type="dxa"/>
            <w:bottom w:w="0" w:type="dxa"/>
            <w:right w:w="108" w:type="dxa"/>
          </w:tblCellMar>
        </w:tblPrEx>
        <w:trPr>
          <w:trHeight w:val="300" w:hRule="atLeast"/>
        </w:trPr>
        <w:tc>
          <w:tcPr>
            <w:tcW w:w="2597" w:type="pct"/>
            <w:gridSpan w:val="5"/>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收入</w:t>
            </w:r>
          </w:p>
        </w:tc>
        <w:tc>
          <w:tcPr>
            <w:tcW w:w="2402" w:type="pct"/>
            <w:gridSpan w:val="3"/>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支出</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行次</w:t>
            </w:r>
          </w:p>
        </w:tc>
        <w:tc>
          <w:tcPr>
            <w:tcW w:w="664"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金额</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行次</w:t>
            </w:r>
          </w:p>
        </w:tc>
        <w:tc>
          <w:tcPr>
            <w:tcW w:w="96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金额</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664"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栏次</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　</w:t>
            </w:r>
          </w:p>
        </w:tc>
        <w:tc>
          <w:tcPr>
            <w:tcW w:w="96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一、一般公共预算财政拨款收入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lang w:val="en-US" w:eastAsia="zh-CN"/>
              </w:rPr>
              <w:t>1838.53</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一、一般公共服务支出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32</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二、政府性基金预算财政拨款收入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二、外交支出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33</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三、国有资本经营预算财政拨款收入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三、国防支出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34</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四、上级补助收入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四、公共安全支出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35</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1,</w:t>
            </w:r>
            <w:r>
              <w:rPr>
                <w:rFonts w:hint="eastAsia" w:cs="Arial"/>
                <w:sz w:val="20"/>
                <w:szCs w:val="20"/>
                <w:lang w:val="en-US" w:eastAsia="zh-CN"/>
              </w:rPr>
              <w:t>962.92</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五、事业收入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五、教育支出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36</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六、经营收入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六、科学技术支出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37</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七、附属单位上缴收入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7</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七、文化旅游体育与传媒支出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38</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八、其他收入</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8</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lang w:val="en-US" w:eastAsia="zh-CN"/>
              </w:rPr>
              <w:t>896.53</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八、社会保障和就业支出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39</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lang w:val="en-US" w:eastAsia="zh-CN"/>
              </w:rPr>
              <w:t>423.05</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9</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九、卫生健康支出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40</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8</w:t>
            </w:r>
            <w:r>
              <w:rPr>
                <w:rFonts w:hint="eastAsia" w:cs="Arial"/>
                <w:sz w:val="20"/>
                <w:szCs w:val="20"/>
                <w:lang w:val="en-US" w:eastAsia="zh-CN"/>
              </w:rPr>
              <w:t>3.32</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10</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十、节能环保支出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41</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11</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十一、城乡社区支出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42</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12</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十二、农林水支出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43</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13</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十三、交通运输支出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44</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14</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十四、资源勘探工业信息等支出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45</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15</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十五、商业服务业等支出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46</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16</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十六、金融支出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47</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17</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十七、援助其他地区支出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48</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18</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十八、自然资源海洋气象等支出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49</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19</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十九、住房保障支出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50</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1</w:t>
            </w:r>
            <w:r>
              <w:rPr>
                <w:rFonts w:hint="eastAsia" w:cs="Arial"/>
                <w:sz w:val="20"/>
                <w:szCs w:val="20"/>
                <w:lang w:val="en-US" w:eastAsia="zh-CN"/>
              </w:rPr>
              <w:t>64.00</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20</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二十、粮油物资储备支出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51</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21</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二十一、国有资本经营预算支出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52</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22</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二十二、灾害防治及应急管理支出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53</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23</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二十三、其他支出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54</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24</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二十四、债务还本支出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55</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25</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二十五、债务付息支出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56</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26</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二十六、抗疫特别国债安排的支出</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57</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本年收入合计</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27</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2,</w:t>
            </w:r>
            <w:r>
              <w:rPr>
                <w:rFonts w:hint="eastAsia" w:cs="Arial"/>
                <w:sz w:val="20"/>
                <w:szCs w:val="20"/>
                <w:lang w:val="en-US" w:eastAsia="zh-CN"/>
              </w:rPr>
              <w:t>735.06</w:t>
            </w:r>
          </w:p>
        </w:tc>
        <w:tc>
          <w:tcPr>
            <w:tcW w:w="1218" w:type="pct"/>
            <w:tcBorders>
              <w:top w:val="nil"/>
              <w:left w:val="nil"/>
              <w:bottom w:val="single" w:color="000000" w:sz="4" w:space="0"/>
              <w:right w:val="single" w:color="000000" w:sz="4" w:space="0"/>
            </w:tcBorders>
            <w:shd w:val="clear" w:color="auto" w:fill="auto"/>
            <w:noWrap/>
            <w:vAlign w:val="center"/>
          </w:tcPr>
          <w:p>
            <w:pPr>
              <w:jc w:val="center"/>
              <w:rPr>
                <w:rFonts w:cs="Arial"/>
                <w:b/>
                <w:bCs/>
                <w:sz w:val="20"/>
                <w:szCs w:val="20"/>
              </w:rPr>
            </w:pPr>
            <w:r>
              <w:rPr>
                <w:rFonts w:hint="eastAsia" w:cs="Arial"/>
                <w:b/>
                <w:bCs/>
                <w:sz w:val="20"/>
                <w:szCs w:val="20"/>
              </w:rPr>
              <w:t>本年支出合计</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58</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2,</w:t>
            </w:r>
            <w:r>
              <w:rPr>
                <w:rFonts w:hint="eastAsia" w:cs="Arial"/>
                <w:sz w:val="20"/>
                <w:szCs w:val="20"/>
                <w:lang w:val="en-US" w:eastAsia="zh-CN"/>
              </w:rPr>
              <w:t>633.30</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使用非财政拨款结余</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28</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结余分配</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59</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年初结转和结余</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29</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lang w:val="en-US" w:eastAsia="zh-CN"/>
              </w:rPr>
              <w:t>174.46</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年末结转和结余</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60</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2</w:t>
            </w:r>
            <w:r>
              <w:rPr>
                <w:rFonts w:hint="eastAsia" w:cs="Arial"/>
                <w:sz w:val="20"/>
                <w:szCs w:val="20"/>
                <w:lang w:val="en-US" w:eastAsia="zh-CN"/>
              </w:rPr>
              <w:t>76.22</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3"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30</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　</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61</w:t>
            </w:r>
          </w:p>
        </w:tc>
        <w:tc>
          <w:tcPr>
            <w:tcW w:w="961"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00" w:hRule="atLeast"/>
        </w:trPr>
        <w:tc>
          <w:tcPr>
            <w:tcW w:w="1709" w:type="pct"/>
            <w:gridSpan w:val="2"/>
            <w:tcBorders>
              <w:top w:val="nil"/>
              <w:left w:val="single" w:color="000000" w:sz="4" w:space="0"/>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223" w:type="pct"/>
            <w:gridSpan w:val="2"/>
            <w:tcBorders>
              <w:top w:val="nil"/>
              <w:left w:val="nil"/>
              <w:bottom w:val="single" w:color="000000" w:sz="12"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31</w:t>
            </w:r>
          </w:p>
        </w:tc>
        <w:tc>
          <w:tcPr>
            <w:tcW w:w="664"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2,</w:t>
            </w:r>
            <w:r>
              <w:rPr>
                <w:rFonts w:hint="eastAsia" w:cs="Arial"/>
                <w:sz w:val="20"/>
                <w:szCs w:val="20"/>
                <w:lang w:val="en-US" w:eastAsia="zh-CN"/>
              </w:rPr>
              <w:t>909.52</w:t>
            </w:r>
          </w:p>
        </w:tc>
        <w:tc>
          <w:tcPr>
            <w:tcW w:w="1218" w:type="pct"/>
            <w:tcBorders>
              <w:top w:val="nil"/>
              <w:left w:val="nil"/>
              <w:bottom w:val="single" w:color="000000" w:sz="4" w:space="0"/>
              <w:right w:val="single" w:color="000000" w:sz="4" w:space="0"/>
            </w:tcBorders>
            <w:shd w:val="clear" w:color="auto" w:fill="auto"/>
            <w:noWrap/>
            <w:vAlign w:val="center"/>
          </w:tcPr>
          <w:p>
            <w:pPr>
              <w:rPr>
                <w:rFonts w:cs="Arial"/>
                <w:b/>
                <w:bCs/>
                <w:sz w:val="20"/>
                <w:szCs w:val="20"/>
              </w:rPr>
            </w:pPr>
            <w:r>
              <w:rPr>
                <w:rFonts w:hint="eastAsia" w:cs="Arial"/>
                <w:b/>
                <w:bCs/>
                <w:sz w:val="20"/>
                <w:szCs w:val="20"/>
              </w:rPr>
              <w:t>总计</w:t>
            </w:r>
          </w:p>
        </w:tc>
        <w:tc>
          <w:tcPr>
            <w:tcW w:w="221"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62</w:t>
            </w:r>
          </w:p>
        </w:tc>
        <w:tc>
          <w:tcPr>
            <w:tcW w:w="961" w:type="pct"/>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2,</w:t>
            </w:r>
            <w:r>
              <w:rPr>
                <w:rFonts w:hint="eastAsia" w:cs="Arial"/>
                <w:sz w:val="20"/>
                <w:szCs w:val="20"/>
                <w:lang w:val="en-US" w:eastAsia="zh-CN"/>
              </w:rPr>
              <w:t>909.52</w:t>
            </w:r>
          </w:p>
        </w:tc>
      </w:tr>
      <w:tr>
        <w:tblPrEx>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auto"/>
            <w:noWrap/>
            <w:vAlign w:val="center"/>
          </w:tcPr>
          <w:p>
            <w:pPr>
              <w:rPr>
                <w:rFonts w:hint="eastAsia" w:cs="Arial"/>
                <w:sz w:val="20"/>
                <w:szCs w:val="20"/>
              </w:rPr>
            </w:pPr>
            <w:r>
              <w:rPr>
                <w:rFonts w:hint="eastAsia" w:cs="Arial"/>
                <w:sz w:val="20"/>
                <w:szCs w:val="20"/>
              </w:rPr>
              <w:t>注：</w:t>
            </w:r>
            <w:r>
              <w:rPr>
                <w:rFonts w:hint="eastAsia" w:cs="Arial"/>
                <w:sz w:val="20"/>
                <w:szCs w:val="20"/>
                <w:lang w:val="en-US" w:eastAsia="zh-CN"/>
              </w:rPr>
              <w:t>1.</w:t>
            </w:r>
            <w:r>
              <w:rPr>
                <w:rFonts w:hint="eastAsia" w:cs="Arial"/>
                <w:sz w:val="20"/>
                <w:szCs w:val="20"/>
              </w:rPr>
              <w:t>本表反映部门本年度的总收支和年末结转结余情况。</w:t>
            </w:r>
          </w:p>
          <w:p>
            <w:pPr>
              <w:ind w:firstLine="400" w:firstLineChars="200"/>
              <w:rPr>
                <w:rFonts w:cs="Arial"/>
                <w:sz w:val="20"/>
                <w:szCs w:val="20"/>
              </w:rPr>
            </w:pPr>
            <w:r>
              <w:rPr>
                <w:rFonts w:hint="eastAsia" w:cs="Arial"/>
                <w:sz w:val="20"/>
                <w:szCs w:val="20"/>
                <w:lang w:val="en-US" w:eastAsia="zh-CN"/>
              </w:rPr>
              <w:t>2.</w:t>
            </w:r>
            <w:r>
              <w:rPr>
                <w:rFonts w:hint="eastAsia" w:cs="Arial"/>
                <w:sz w:val="20"/>
                <w:szCs w:val="20"/>
              </w:rPr>
              <w:t>本套报表金额单位转换时可能存在尾数误差。</w:t>
            </w:r>
          </w:p>
        </w:tc>
      </w:tr>
    </w:tbl>
    <w:p>
      <w:pPr>
        <w:pStyle w:val="13"/>
        <w:adjustRightInd w:val="0"/>
        <w:snapToGrid w:val="0"/>
        <w:spacing w:beforeLines="250" w:beforeAutospacing="0"/>
        <w:outlineLvl w:val="1"/>
        <w:rPr>
          <w:shd w:val="clear" w:color="auto" w:fill="FFFFFF"/>
        </w:rPr>
        <w:sectPr>
          <w:footerReference r:id="rId5" w:type="default"/>
          <w:pgSz w:w="11915" w:h="16851"/>
          <w:pgMar w:top="1440" w:right="1800" w:bottom="1440" w:left="1800" w:header="851" w:footer="992" w:gutter="0"/>
          <w:pgNumType w:start="1"/>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7" w:name="_Toc17035"/>
      <w:r>
        <w:rPr>
          <w:rFonts w:hint="eastAsia" w:ascii="楷体_GB2312" w:hAnsi="楷体" w:eastAsia="楷体_GB2312" w:cs="楷体"/>
          <w:sz w:val="32"/>
          <w:szCs w:val="32"/>
          <w:shd w:val="clear" w:color="auto" w:fill="FFFFFF"/>
        </w:rPr>
        <w:t>二、收入决算表</w:t>
      </w:r>
      <w:bookmarkEnd w:id="7"/>
    </w:p>
    <w:tbl>
      <w:tblPr>
        <w:tblStyle w:val="14"/>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75"/>
        <w:gridCol w:w="300"/>
        <w:gridCol w:w="387"/>
        <w:gridCol w:w="2613"/>
        <w:gridCol w:w="1287"/>
        <w:gridCol w:w="1350"/>
        <w:gridCol w:w="1475"/>
        <w:gridCol w:w="1150"/>
        <w:gridCol w:w="975"/>
        <w:gridCol w:w="1313"/>
        <w:gridCol w:w="2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49"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105"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136"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921"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53"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76"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52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05"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343"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63" w:type="pct"/>
            <w:tcBorders>
              <w:top w:val="nil"/>
              <w:left w:val="nil"/>
              <w:bottom w:val="nil"/>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723" w:type="pct"/>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13" w:type="pct"/>
            <w:gridSpan w:val="4"/>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auto"/>
                <w:sz w:val="18"/>
                <w:szCs w:val="18"/>
                <w:u w:val="none"/>
              </w:rPr>
            </w:pPr>
            <w:r>
              <w:rPr>
                <w:rFonts w:hint="eastAsia" w:ascii="宋体" w:hAnsi="宋体" w:eastAsia="宋体" w:cs="宋体"/>
                <w:i w:val="0"/>
                <w:color w:val="auto"/>
                <w:kern w:val="0"/>
                <w:sz w:val="22"/>
                <w:szCs w:val="22"/>
                <w:u w:val="none"/>
                <w:lang w:val="en-US" w:eastAsia="zh-CN" w:bidi="ar"/>
              </w:rPr>
              <w:t>部门：常德市武陵区人民检察院</w:t>
            </w:r>
          </w:p>
        </w:tc>
        <w:tc>
          <w:tcPr>
            <w:tcW w:w="453"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76" w:type="pct"/>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2021年度</w:t>
            </w:r>
          </w:p>
        </w:tc>
        <w:tc>
          <w:tcPr>
            <w:tcW w:w="520"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05"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343"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463"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auto"/>
                <w:sz w:val="18"/>
                <w:szCs w:val="18"/>
                <w:u w:val="none"/>
              </w:rPr>
            </w:pPr>
          </w:p>
        </w:tc>
        <w:tc>
          <w:tcPr>
            <w:tcW w:w="723" w:type="pct"/>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ind w:firstLine="660" w:firstLineChars="300"/>
              <w:jc w:val="both"/>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1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w:t>
            </w:r>
          </w:p>
        </w:tc>
        <w:tc>
          <w:tcPr>
            <w:tcW w:w="45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本年收入合计</w:t>
            </w:r>
          </w:p>
        </w:tc>
        <w:tc>
          <w:tcPr>
            <w:tcW w:w="47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52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上级补助收入</w:t>
            </w:r>
          </w:p>
        </w:tc>
        <w:tc>
          <w:tcPr>
            <w:tcW w:w="405"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34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46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附属单位上缴收入</w:t>
            </w:r>
          </w:p>
        </w:tc>
        <w:tc>
          <w:tcPr>
            <w:tcW w:w="72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功能分类科目编码</w:t>
            </w:r>
          </w:p>
        </w:tc>
        <w:tc>
          <w:tcPr>
            <w:tcW w:w="921"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科目名称</w:t>
            </w: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7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2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34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7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2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7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2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34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7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92"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921"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auto"/>
                <w:sz w:val="20"/>
                <w:szCs w:val="20"/>
                <w:u w:val="none"/>
              </w:rPr>
            </w:pPr>
          </w:p>
        </w:tc>
        <w:tc>
          <w:tcPr>
            <w:tcW w:w="45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7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52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05"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34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46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c>
          <w:tcPr>
            <w:tcW w:w="72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1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栏次</w:t>
            </w:r>
          </w:p>
        </w:tc>
        <w:tc>
          <w:tcPr>
            <w:tcW w:w="45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47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52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405"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34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46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72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13"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2,735.06</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1,838.53</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896.53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204</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公共安全支出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2,060.69</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1,527.53</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533.16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20404</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检察</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2,060.69</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1,527.53</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533.16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2040401</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行政运行</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1,843.03</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1,316.53</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526.50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2040402</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一般行政管理事务</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128.66</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122.00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2040410</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检察监督</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89.00</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89.00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208</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社会保障和就业支出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425.91</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105.00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20805</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行政事业单位养老支出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415.31</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94.40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320.91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2080501</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行政单位离退休</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332.22</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12.40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2080505</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机关事业单位基本养老保险缴费支出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83.09</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82.00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20899</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其他社会保障和就业支出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10.60</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10.60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2089999</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其他社会保障和就业支出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10.60</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10.60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210</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卫生健康支出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84.47</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42.00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21011</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行政事业单位医疗</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84.47</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42.00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42.47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2101101</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行政单位医疗</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84.47</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221</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住房保障支出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164.00</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164.00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22102</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住房改革支出</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164.00</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164.00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2"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2210201</w:t>
            </w:r>
          </w:p>
        </w:tc>
        <w:tc>
          <w:tcPr>
            <w:tcW w:w="921"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住房公积金</w:t>
            </w:r>
          </w:p>
        </w:tc>
        <w:tc>
          <w:tcPr>
            <w:tcW w:w="45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164.00</w:t>
            </w:r>
          </w:p>
        </w:tc>
        <w:tc>
          <w:tcPr>
            <w:tcW w:w="47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164.00</w:t>
            </w:r>
          </w:p>
        </w:tc>
        <w:tc>
          <w:tcPr>
            <w:tcW w:w="52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05"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34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6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72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注：本表反映部门本年度取得的各项收入情况。</w:t>
            </w:r>
          </w:p>
        </w:tc>
      </w:tr>
    </w:tbl>
    <w:p>
      <w:pPr>
        <w:pStyle w:val="13"/>
        <w:spacing w:before="0" w:beforeAutospacing="0"/>
        <w:outlineLvl w:val="1"/>
        <w:rPr>
          <w:shd w:val="clear" w:color="auto" w:fill="FFFFFF"/>
        </w:rPr>
      </w:pPr>
    </w:p>
    <w:p>
      <w:pPr>
        <w:pStyle w:val="13"/>
        <w:spacing w:before="0" w:beforeAutospacing="0"/>
        <w:outlineLvl w:val="1"/>
        <w:rPr>
          <w:rFonts w:ascii="楷体_GB2312" w:hAnsi="楷体" w:eastAsia="楷体_GB2312" w:cs="楷体"/>
          <w:sz w:val="32"/>
          <w:szCs w:val="32"/>
          <w:shd w:val="clear" w:color="auto" w:fill="FFFFFF"/>
        </w:rPr>
      </w:pPr>
      <w:bookmarkStart w:id="8" w:name="_Toc6985"/>
      <w:r>
        <w:rPr>
          <w:rFonts w:hint="eastAsia" w:ascii="楷体_GB2312" w:hAnsi="楷体" w:eastAsia="楷体_GB2312" w:cs="楷体"/>
          <w:sz w:val="32"/>
          <w:szCs w:val="32"/>
          <w:shd w:val="clear" w:color="auto" w:fill="FFFFFF"/>
        </w:rPr>
        <w:t>三、支出决算表</w:t>
      </w:r>
      <w:bookmarkEnd w:id="8"/>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75"/>
        <w:gridCol w:w="240"/>
        <w:gridCol w:w="240"/>
        <w:gridCol w:w="2545"/>
        <w:gridCol w:w="1525"/>
        <w:gridCol w:w="1362"/>
        <w:gridCol w:w="1513"/>
        <w:gridCol w:w="1550"/>
        <w:gridCol w:w="1375"/>
        <w:gridCol w:w="2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55"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84"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84"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897"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537"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480"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533"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546"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484" w:type="pct"/>
            <w:tcBorders>
              <w:top w:val="nil"/>
              <w:left w:val="nil"/>
              <w:bottom w:val="nil"/>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794" w:type="pct"/>
            <w:tcBorders>
              <w:top w:val="nil"/>
              <w:left w:val="nil"/>
              <w:bottom w:val="nil"/>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1622" w:type="pct"/>
            <w:gridSpan w:val="4"/>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部门：常德市武陵区人民检察院</w:t>
            </w:r>
          </w:p>
        </w:tc>
        <w:tc>
          <w:tcPr>
            <w:tcW w:w="537" w:type="pct"/>
            <w:tcBorders>
              <w:top w:val="nil"/>
              <w:left w:val="nil"/>
              <w:bottom w:val="single" w:color="80808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480" w:type="pct"/>
            <w:tcBorders>
              <w:top w:val="nil"/>
              <w:left w:val="nil"/>
              <w:bottom w:val="single" w:color="808080" w:sz="4" w:space="0"/>
              <w:right w:val="nil"/>
            </w:tcBorders>
            <w:shd w:val="clear" w:color="auto" w:fill="auto"/>
            <w:noWrap/>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22"/>
                <w:szCs w:val="22"/>
                <w:u w:val="none"/>
                <w:lang w:val="en-US" w:eastAsia="zh-CN" w:bidi="ar"/>
              </w:rPr>
              <w:t>2021年度</w:t>
            </w:r>
          </w:p>
        </w:tc>
        <w:tc>
          <w:tcPr>
            <w:tcW w:w="533"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546"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484" w:type="pct"/>
            <w:tcBorders>
              <w:top w:val="nil"/>
              <w:left w:val="nil"/>
              <w:bottom w:val="single" w:color="808080" w:sz="4" w:space="0"/>
              <w:right w:val="nil"/>
            </w:tcBorders>
            <w:shd w:val="clear" w:color="auto" w:fill="auto"/>
            <w:noWrap/>
            <w:vAlign w:val="center"/>
          </w:tcPr>
          <w:p>
            <w:pPr>
              <w:jc w:val="left"/>
              <w:rPr>
                <w:rFonts w:hint="eastAsia" w:ascii="宋体" w:hAnsi="宋体" w:eastAsia="宋体" w:cs="宋体"/>
                <w:i w:val="0"/>
                <w:color w:val="000000"/>
                <w:sz w:val="18"/>
                <w:szCs w:val="18"/>
                <w:u w:val="none"/>
              </w:rPr>
            </w:pPr>
          </w:p>
        </w:tc>
        <w:tc>
          <w:tcPr>
            <w:tcW w:w="794" w:type="pct"/>
            <w:tcBorders>
              <w:top w:val="nil"/>
              <w:left w:val="nil"/>
              <w:bottom w:val="single" w:color="808080" w:sz="4" w:space="0"/>
              <w:right w:val="single" w:color="80808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537"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480"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533"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546"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48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经营支出</w:t>
            </w:r>
          </w:p>
        </w:tc>
        <w:tc>
          <w:tcPr>
            <w:tcW w:w="794" w:type="pct"/>
            <w:vMerge w:val="restar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功能分类科目编码</w:t>
            </w:r>
          </w:p>
        </w:tc>
        <w:tc>
          <w:tcPr>
            <w:tcW w:w="897" w:type="pct"/>
            <w:vMerge w:val="restar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5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9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5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9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97" w:type="pct"/>
            <w:vMerge w:val="continue"/>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537"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0"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46"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794" w:type="pct"/>
            <w:vMerge w:val="continue"/>
            <w:tcBorders>
              <w:top w:val="nil"/>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栏次</w:t>
            </w:r>
          </w:p>
        </w:tc>
        <w:tc>
          <w:tcPr>
            <w:tcW w:w="537"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480"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33"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46"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48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94" w:type="pct"/>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gridSpan w:val="4"/>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2,633.30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2,542.87</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90.43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公共安全支出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1,962.92</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1,872.50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90.43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20404</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检察</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1,962.92</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1,872.50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90.43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2040401</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行政运行</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1,810.33</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1,810.33</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2040402</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90.43</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90.43</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2040410</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检察监督</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62.16</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62.16</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423.05</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423.05</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412.45</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412.45</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331.50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80.95</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80.95</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20899</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其他社会保障和就业支出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10.60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2089999</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10.60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卫生健康支出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83.32</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83.32</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行政事业单位医疗</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83.32</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83.32</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行政单位医疗</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83.32</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83.32</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住房保障支出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164.00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住房改革支出</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164.00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89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537"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164.00</w:t>
            </w:r>
          </w:p>
        </w:tc>
        <w:tc>
          <w:tcPr>
            <w:tcW w:w="480"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164.00</w:t>
            </w:r>
          </w:p>
        </w:tc>
        <w:tc>
          <w:tcPr>
            <w:tcW w:w="53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54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48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794"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注：本表反映部门本年度各项支出情况。</w:t>
            </w:r>
          </w:p>
        </w:tc>
      </w:tr>
    </w:tbl>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spacing w:before="0" w:beforeAutospacing="0"/>
        <w:outlineLvl w:val="1"/>
        <w:rPr>
          <w:shd w:val="clear" w:color="auto" w:fill="FFFFFF"/>
        </w:rPr>
      </w:pPr>
    </w:p>
    <w:p>
      <w:pPr>
        <w:pStyle w:val="13"/>
        <w:adjustRightInd w:val="0"/>
        <w:snapToGrid w:val="0"/>
        <w:spacing w:before="0" w:beforeAutospacing="0" w:after="0" w:afterAutospacing="0" w:line="400" w:lineRule="exact"/>
        <w:outlineLvl w:val="1"/>
        <w:rPr>
          <w:shd w:val="clear" w:color="auto" w:fill="FFFFFF"/>
        </w:rPr>
      </w:pPr>
      <w:bookmarkStart w:id="9" w:name="_Toc20129"/>
      <w:r>
        <w:rPr>
          <w:rFonts w:hint="eastAsia" w:ascii="楷体_GB2312" w:hAnsi="楷体" w:eastAsia="楷体_GB2312" w:cs="楷体"/>
          <w:sz w:val="32"/>
          <w:szCs w:val="32"/>
          <w:shd w:val="clear" w:color="auto" w:fill="FFFFFF"/>
        </w:rPr>
        <w:t>四、财政拨款收入支出决算总表</w:t>
      </w:r>
      <w:bookmarkEnd w:id="9"/>
    </w:p>
    <w:tbl>
      <w:tblPr>
        <w:tblStyle w:val="14"/>
        <w:tblW w:w="13856" w:type="dxa"/>
        <w:tblInd w:w="93" w:type="dxa"/>
        <w:shd w:val="clear" w:color="auto" w:fill="auto"/>
        <w:tblLayout w:type="fixed"/>
        <w:tblCellMar>
          <w:top w:w="0" w:type="dxa"/>
          <w:left w:w="108" w:type="dxa"/>
          <w:bottom w:w="0" w:type="dxa"/>
          <w:right w:w="108" w:type="dxa"/>
        </w:tblCellMar>
      </w:tblPr>
      <w:tblGrid>
        <w:gridCol w:w="2275"/>
        <w:gridCol w:w="706"/>
        <w:gridCol w:w="377"/>
        <w:gridCol w:w="814"/>
        <w:gridCol w:w="80"/>
        <w:gridCol w:w="840"/>
        <w:gridCol w:w="2235"/>
        <w:gridCol w:w="235"/>
        <w:gridCol w:w="330"/>
        <w:gridCol w:w="93"/>
        <w:gridCol w:w="957"/>
        <w:gridCol w:w="234"/>
        <w:gridCol w:w="1037"/>
        <w:gridCol w:w="234"/>
        <w:gridCol w:w="1171"/>
        <w:gridCol w:w="179"/>
        <w:gridCol w:w="1753"/>
        <w:gridCol w:w="306"/>
      </w:tblGrid>
      <w:tr>
        <w:tblPrEx>
          <w:tblCellMar>
            <w:top w:w="0" w:type="dxa"/>
            <w:left w:w="108" w:type="dxa"/>
            <w:bottom w:w="0" w:type="dxa"/>
            <w:right w:w="108" w:type="dxa"/>
          </w:tblCellMar>
        </w:tblPrEx>
        <w:trPr>
          <w:trHeight w:val="300" w:hRule="atLeast"/>
        </w:trPr>
        <w:tc>
          <w:tcPr>
            <w:tcW w:w="3358" w:type="dxa"/>
            <w:gridSpan w:val="3"/>
            <w:tcBorders>
              <w:top w:val="nil"/>
              <w:left w:val="nil"/>
              <w:bottom w:val="nil"/>
              <w:right w:val="nil"/>
            </w:tcBorders>
            <w:shd w:val="clear" w:color="auto" w:fill="auto"/>
            <w:noWrap/>
            <w:vAlign w:val="bottom"/>
          </w:tcPr>
          <w:p>
            <w:pPr>
              <w:rPr>
                <w:rFonts w:ascii="Arial" w:hAnsi="Arial" w:cs="Arial"/>
                <w:color w:val="auto"/>
                <w:sz w:val="20"/>
                <w:szCs w:val="20"/>
              </w:rPr>
            </w:pPr>
          </w:p>
        </w:tc>
        <w:tc>
          <w:tcPr>
            <w:tcW w:w="894" w:type="dxa"/>
            <w:gridSpan w:val="2"/>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840" w:type="dxa"/>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2235" w:type="dxa"/>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565" w:type="dxa"/>
            <w:gridSpan w:val="2"/>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1050" w:type="dxa"/>
            <w:gridSpan w:val="2"/>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1271" w:type="dxa"/>
            <w:gridSpan w:val="2"/>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1405" w:type="dxa"/>
            <w:gridSpan w:val="2"/>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2238" w:type="dxa"/>
            <w:gridSpan w:val="3"/>
            <w:tcBorders>
              <w:top w:val="nil"/>
              <w:left w:val="nil"/>
              <w:bottom w:val="nil"/>
              <w:right w:val="single" w:color="808080" w:sz="4" w:space="0"/>
            </w:tcBorders>
            <w:shd w:val="clear" w:color="auto" w:fill="auto"/>
            <w:noWrap/>
            <w:vAlign w:val="center"/>
          </w:tcPr>
          <w:p>
            <w:pPr>
              <w:jc w:val="right"/>
              <w:rPr>
                <w:rFonts w:cs="Arial"/>
                <w:color w:val="auto"/>
                <w:sz w:val="22"/>
                <w:szCs w:val="22"/>
              </w:rPr>
            </w:pPr>
            <w:r>
              <w:rPr>
                <w:rFonts w:hint="eastAsia" w:cs="Arial"/>
                <w:color w:val="auto"/>
                <w:sz w:val="22"/>
                <w:szCs w:val="22"/>
              </w:rPr>
              <w:t>公开04表</w:t>
            </w:r>
          </w:p>
        </w:tc>
      </w:tr>
      <w:tr>
        <w:tblPrEx>
          <w:tblCellMar>
            <w:top w:w="0" w:type="dxa"/>
            <w:left w:w="108" w:type="dxa"/>
            <w:bottom w:w="0" w:type="dxa"/>
            <w:right w:w="108" w:type="dxa"/>
          </w:tblCellMar>
        </w:tblPrEx>
        <w:trPr>
          <w:trHeight w:val="479" w:hRule="atLeast"/>
        </w:trPr>
        <w:tc>
          <w:tcPr>
            <w:tcW w:w="3358" w:type="dxa"/>
            <w:gridSpan w:val="3"/>
            <w:tcBorders>
              <w:top w:val="nil"/>
              <w:left w:val="nil"/>
              <w:bottom w:val="single" w:color="808080" w:sz="4" w:space="0"/>
              <w:right w:val="nil"/>
            </w:tcBorders>
            <w:shd w:val="clear" w:color="auto" w:fill="auto"/>
            <w:noWrap/>
            <w:vAlign w:val="center"/>
          </w:tcPr>
          <w:p>
            <w:pPr>
              <w:rPr>
                <w:rFonts w:cs="Arial"/>
                <w:color w:val="auto"/>
                <w:sz w:val="22"/>
                <w:szCs w:val="22"/>
              </w:rPr>
            </w:pPr>
            <w:r>
              <w:rPr>
                <w:rFonts w:hint="eastAsia" w:cs="Arial"/>
                <w:color w:val="auto"/>
                <w:sz w:val="22"/>
                <w:szCs w:val="22"/>
              </w:rPr>
              <w:t>部门：常德市武陵区人民检察院</w:t>
            </w:r>
          </w:p>
        </w:tc>
        <w:tc>
          <w:tcPr>
            <w:tcW w:w="894" w:type="dxa"/>
            <w:gridSpan w:val="2"/>
            <w:tcBorders>
              <w:top w:val="nil"/>
              <w:left w:val="nil"/>
              <w:bottom w:val="nil"/>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840" w:type="dxa"/>
            <w:tcBorders>
              <w:top w:val="nil"/>
              <w:left w:val="nil"/>
              <w:bottom w:val="single" w:color="808080" w:sz="4" w:space="0"/>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2800" w:type="dxa"/>
            <w:gridSpan w:val="3"/>
            <w:tcBorders>
              <w:top w:val="nil"/>
              <w:left w:val="nil"/>
              <w:bottom w:val="single" w:color="808080" w:sz="4" w:space="0"/>
              <w:right w:val="nil"/>
            </w:tcBorders>
            <w:shd w:val="clear" w:color="auto" w:fill="auto"/>
            <w:noWrap/>
            <w:vAlign w:val="bottom"/>
          </w:tcPr>
          <w:p>
            <w:pPr>
              <w:jc w:val="center"/>
              <w:rPr>
                <w:rFonts w:cs="Arial"/>
                <w:color w:val="auto"/>
                <w:sz w:val="18"/>
                <w:szCs w:val="18"/>
              </w:rPr>
            </w:pPr>
          </w:p>
          <w:p>
            <w:pPr>
              <w:jc w:val="center"/>
              <w:rPr>
                <w:rFonts w:cs="Arial"/>
                <w:color w:val="auto"/>
                <w:sz w:val="22"/>
                <w:szCs w:val="22"/>
              </w:rPr>
            </w:pPr>
            <w:r>
              <w:rPr>
                <w:rFonts w:hint="eastAsia" w:cs="Arial"/>
                <w:color w:val="auto"/>
                <w:sz w:val="22"/>
                <w:szCs w:val="22"/>
              </w:rPr>
              <w:t>202</w:t>
            </w:r>
            <w:r>
              <w:rPr>
                <w:rFonts w:hint="eastAsia" w:cs="Arial"/>
                <w:color w:val="auto"/>
                <w:sz w:val="22"/>
                <w:szCs w:val="22"/>
                <w:lang w:val="en-US" w:eastAsia="zh-CN"/>
              </w:rPr>
              <w:t>1</w:t>
            </w:r>
            <w:r>
              <w:rPr>
                <w:rFonts w:hint="eastAsia" w:cs="Arial"/>
                <w:color w:val="auto"/>
                <w:sz w:val="22"/>
                <w:szCs w:val="22"/>
              </w:rPr>
              <w:t>年度</w:t>
            </w:r>
          </w:p>
        </w:tc>
        <w:tc>
          <w:tcPr>
            <w:tcW w:w="1050" w:type="dxa"/>
            <w:gridSpan w:val="2"/>
            <w:tcBorders>
              <w:top w:val="nil"/>
              <w:left w:val="nil"/>
              <w:bottom w:val="single" w:color="808080" w:sz="4" w:space="0"/>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1271" w:type="dxa"/>
            <w:gridSpan w:val="2"/>
            <w:tcBorders>
              <w:top w:val="nil"/>
              <w:left w:val="nil"/>
              <w:bottom w:val="single" w:color="808080" w:sz="4" w:space="0"/>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1405" w:type="dxa"/>
            <w:gridSpan w:val="2"/>
            <w:tcBorders>
              <w:top w:val="nil"/>
              <w:left w:val="nil"/>
              <w:bottom w:val="single" w:color="808080" w:sz="4" w:space="0"/>
              <w:right w:val="nil"/>
            </w:tcBorders>
            <w:shd w:val="clear" w:color="auto" w:fill="auto"/>
            <w:noWrap/>
            <w:vAlign w:val="center"/>
          </w:tcPr>
          <w:p>
            <w:pPr>
              <w:rPr>
                <w:rFonts w:cs="Arial"/>
                <w:color w:val="auto"/>
                <w:sz w:val="18"/>
                <w:szCs w:val="18"/>
              </w:rPr>
            </w:pPr>
            <w:r>
              <w:rPr>
                <w:rFonts w:hint="eastAsia" w:cs="Arial"/>
                <w:color w:val="auto"/>
                <w:sz w:val="18"/>
                <w:szCs w:val="18"/>
              </w:rPr>
              <w:t>　</w:t>
            </w:r>
          </w:p>
        </w:tc>
        <w:tc>
          <w:tcPr>
            <w:tcW w:w="2238" w:type="dxa"/>
            <w:gridSpan w:val="3"/>
            <w:tcBorders>
              <w:top w:val="nil"/>
              <w:left w:val="nil"/>
              <w:bottom w:val="single" w:color="808080" w:sz="4" w:space="0"/>
              <w:right w:val="single" w:color="808080" w:sz="4" w:space="0"/>
            </w:tcBorders>
            <w:shd w:val="clear" w:color="auto" w:fill="auto"/>
            <w:noWrap/>
            <w:vAlign w:val="center"/>
          </w:tcPr>
          <w:p>
            <w:pPr>
              <w:jc w:val="right"/>
              <w:rPr>
                <w:rFonts w:cs="Arial"/>
                <w:color w:val="auto"/>
                <w:sz w:val="22"/>
                <w:szCs w:val="22"/>
              </w:rPr>
            </w:pPr>
            <w:r>
              <w:rPr>
                <w:rFonts w:hint="eastAsia" w:cs="Arial"/>
                <w:color w:val="auto"/>
                <w:sz w:val="22"/>
                <w:szCs w:val="22"/>
              </w:rPr>
              <w:t>单位：万元</w:t>
            </w:r>
          </w:p>
        </w:tc>
      </w:tr>
      <w:tr>
        <w:tblPrEx>
          <w:tblCellMar>
            <w:top w:w="0" w:type="dxa"/>
            <w:left w:w="108" w:type="dxa"/>
            <w:bottom w:w="0" w:type="dxa"/>
            <w:right w:w="108" w:type="dxa"/>
          </w:tblCellMar>
        </w:tblPrEx>
        <w:trPr>
          <w:trHeight w:val="300" w:hRule="atLeast"/>
        </w:trPr>
        <w:tc>
          <w:tcPr>
            <w:tcW w:w="5092" w:type="dxa"/>
            <w:gridSpan w:val="6"/>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收     入</w:t>
            </w:r>
          </w:p>
        </w:tc>
        <w:tc>
          <w:tcPr>
            <w:tcW w:w="8764" w:type="dxa"/>
            <w:gridSpan w:val="1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支     出</w:t>
            </w:r>
          </w:p>
        </w:tc>
      </w:tr>
      <w:tr>
        <w:tblPrEx>
          <w:tblCellMar>
            <w:top w:w="0" w:type="dxa"/>
            <w:left w:w="108" w:type="dxa"/>
            <w:bottom w:w="0" w:type="dxa"/>
            <w:right w:w="108" w:type="dxa"/>
          </w:tblCellMar>
        </w:tblPrEx>
        <w:trPr>
          <w:trHeight w:val="285" w:hRule="atLeast"/>
        </w:trPr>
        <w:tc>
          <w:tcPr>
            <w:tcW w:w="2275" w:type="dxa"/>
            <w:vMerge w:val="restart"/>
            <w:tcBorders>
              <w:top w:val="nil"/>
              <w:left w:val="single" w:color="000000" w:sz="4" w:space="0"/>
              <w:bottom w:val="single" w:color="000000" w:sz="4" w:space="0"/>
              <w:right w:val="single" w:color="000000" w:sz="4" w:space="0"/>
            </w:tcBorders>
            <w:shd w:val="clear" w:color="auto" w:fill="auto"/>
            <w:vAlign w:val="center"/>
          </w:tcPr>
          <w:p>
            <w:pPr>
              <w:rPr>
                <w:rFonts w:cs="Arial"/>
                <w:color w:val="auto"/>
                <w:sz w:val="20"/>
                <w:szCs w:val="20"/>
              </w:rPr>
            </w:pPr>
            <w:r>
              <w:rPr>
                <w:rFonts w:hint="eastAsia" w:cs="Arial"/>
                <w:color w:val="auto"/>
                <w:sz w:val="20"/>
                <w:szCs w:val="20"/>
              </w:rPr>
              <w:t>项目</w:t>
            </w:r>
          </w:p>
        </w:tc>
        <w:tc>
          <w:tcPr>
            <w:tcW w:w="706" w:type="dxa"/>
            <w:vMerge w:val="restart"/>
            <w:tcBorders>
              <w:top w:val="nil"/>
              <w:left w:val="nil"/>
              <w:bottom w:val="single" w:color="000000" w:sz="4" w:space="0"/>
              <w:right w:val="single" w:color="000000" w:sz="4" w:space="0"/>
            </w:tcBorders>
            <w:shd w:val="clear" w:color="auto" w:fill="auto"/>
            <w:vAlign w:val="center"/>
          </w:tcPr>
          <w:p>
            <w:pPr>
              <w:jc w:val="center"/>
              <w:rPr>
                <w:rFonts w:cs="Arial"/>
                <w:color w:val="auto"/>
                <w:sz w:val="20"/>
                <w:szCs w:val="20"/>
              </w:rPr>
            </w:pPr>
            <w:r>
              <w:rPr>
                <w:rFonts w:hint="eastAsia" w:cs="Arial"/>
                <w:color w:val="auto"/>
                <w:sz w:val="20"/>
                <w:szCs w:val="20"/>
              </w:rPr>
              <w:t>行次</w:t>
            </w:r>
          </w:p>
        </w:tc>
        <w:tc>
          <w:tcPr>
            <w:tcW w:w="1191"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color w:val="auto"/>
                <w:sz w:val="20"/>
                <w:szCs w:val="20"/>
              </w:rPr>
            </w:pPr>
            <w:r>
              <w:rPr>
                <w:rFonts w:hint="eastAsia" w:cs="Arial"/>
                <w:color w:val="auto"/>
                <w:sz w:val="20"/>
                <w:szCs w:val="20"/>
              </w:rPr>
              <w:t>金额</w:t>
            </w:r>
          </w:p>
        </w:tc>
        <w:tc>
          <w:tcPr>
            <w:tcW w:w="3390" w:type="dxa"/>
            <w:gridSpan w:val="4"/>
            <w:vMerge w:val="restart"/>
            <w:tcBorders>
              <w:top w:val="nil"/>
              <w:left w:val="nil"/>
              <w:bottom w:val="single" w:color="000000" w:sz="4" w:space="0"/>
              <w:right w:val="single" w:color="000000" w:sz="4" w:space="0"/>
            </w:tcBorders>
            <w:shd w:val="clear" w:color="auto" w:fill="auto"/>
            <w:vAlign w:val="bottom"/>
          </w:tcPr>
          <w:p>
            <w:pPr>
              <w:rPr>
                <w:rFonts w:cs="Arial"/>
                <w:color w:val="auto"/>
                <w:sz w:val="20"/>
                <w:szCs w:val="20"/>
              </w:rPr>
            </w:pPr>
            <w:r>
              <w:rPr>
                <w:rFonts w:hint="eastAsia" w:cs="Arial"/>
                <w:color w:val="auto"/>
                <w:sz w:val="20"/>
                <w:szCs w:val="20"/>
              </w:rPr>
              <w:t>项目</w:t>
            </w:r>
          </w:p>
        </w:tc>
        <w:tc>
          <w:tcPr>
            <w:tcW w:w="423"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color w:val="auto"/>
                <w:sz w:val="20"/>
                <w:szCs w:val="20"/>
              </w:rPr>
            </w:pPr>
            <w:r>
              <w:rPr>
                <w:rFonts w:hint="eastAsia" w:cs="Arial"/>
                <w:color w:val="auto"/>
                <w:sz w:val="20"/>
                <w:szCs w:val="20"/>
              </w:rPr>
              <w:t>行次</w:t>
            </w:r>
          </w:p>
        </w:tc>
        <w:tc>
          <w:tcPr>
            <w:tcW w:w="1191" w:type="dxa"/>
            <w:gridSpan w:val="2"/>
            <w:vMerge w:val="restart"/>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合计</w:t>
            </w:r>
          </w:p>
        </w:tc>
        <w:tc>
          <w:tcPr>
            <w:tcW w:w="1271"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color w:val="auto"/>
                <w:sz w:val="20"/>
                <w:szCs w:val="20"/>
              </w:rPr>
            </w:pPr>
            <w:r>
              <w:rPr>
                <w:rFonts w:hint="eastAsia" w:cs="Arial"/>
                <w:color w:val="auto"/>
                <w:sz w:val="20"/>
                <w:szCs w:val="20"/>
              </w:rPr>
              <w:t>一般公共预算财政拨款</w:t>
            </w:r>
          </w:p>
        </w:tc>
        <w:tc>
          <w:tcPr>
            <w:tcW w:w="1350"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color w:val="auto"/>
                <w:sz w:val="20"/>
                <w:szCs w:val="20"/>
              </w:rPr>
            </w:pPr>
            <w:r>
              <w:rPr>
                <w:rFonts w:hint="eastAsia" w:cs="Arial"/>
                <w:color w:val="auto"/>
                <w:sz w:val="20"/>
                <w:szCs w:val="20"/>
              </w:rPr>
              <w:t>政府性基金预算财政拨款</w:t>
            </w:r>
          </w:p>
        </w:tc>
        <w:tc>
          <w:tcPr>
            <w:tcW w:w="2059" w:type="dxa"/>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color w:val="auto"/>
                <w:sz w:val="20"/>
                <w:szCs w:val="20"/>
              </w:rPr>
            </w:pPr>
            <w:r>
              <w:rPr>
                <w:rFonts w:hint="eastAsia" w:cs="Arial"/>
                <w:color w:val="auto"/>
                <w:sz w:val="20"/>
                <w:szCs w:val="20"/>
              </w:rPr>
              <w:t>国有资本经营预算财政拨款</w:t>
            </w:r>
          </w:p>
        </w:tc>
      </w:tr>
      <w:tr>
        <w:tblPrEx>
          <w:tblCellMar>
            <w:top w:w="0" w:type="dxa"/>
            <w:left w:w="108" w:type="dxa"/>
            <w:bottom w:w="0" w:type="dxa"/>
            <w:right w:w="108" w:type="dxa"/>
          </w:tblCellMar>
        </w:tblPrEx>
        <w:trPr>
          <w:trHeight w:val="600" w:hRule="atLeast"/>
        </w:trPr>
        <w:tc>
          <w:tcPr>
            <w:tcW w:w="2275" w:type="dxa"/>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color w:val="auto"/>
                <w:sz w:val="20"/>
                <w:szCs w:val="20"/>
              </w:rPr>
            </w:pPr>
          </w:p>
        </w:tc>
        <w:tc>
          <w:tcPr>
            <w:tcW w:w="706" w:type="dxa"/>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c>
          <w:tcPr>
            <w:tcW w:w="1191" w:type="dxa"/>
            <w:gridSpan w:val="2"/>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c>
          <w:tcPr>
            <w:tcW w:w="3390" w:type="dxa"/>
            <w:gridSpan w:val="4"/>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c>
          <w:tcPr>
            <w:tcW w:w="423" w:type="dxa"/>
            <w:gridSpan w:val="2"/>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c>
          <w:tcPr>
            <w:tcW w:w="1191" w:type="dxa"/>
            <w:gridSpan w:val="2"/>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c>
          <w:tcPr>
            <w:tcW w:w="1271" w:type="dxa"/>
            <w:gridSpan w:val="2"/>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c>
          <w:tcPr>
            <w:tcW w:w="1350" w:type="dxa"/>
            <w:gridSpan w:val="2"/>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c>
          <w:tcPr>
            <w:tcW w:w="2059" w:type="dxa"/>
            <w:gridSpan w:val="2"/>
            <w:vMerge w:val="continue"/>
            <w:tcBorders>
              <w:top w:val="nil"/>
              <w:left w:val="nil"/>
              <w:bottom w:val="single" w:color="000000" w:sz="4" w:space="0"/>
              <w:right w:val="single" w:color="000000" w:sz="4" w:space="0"/>
            </w:tcBorders>
            <w:shd w:val="clear" w:color="auto" w:fill="auto"/>
            <w:vAlign w:val="center"/>
          </w:tcPr>
          <w:p>
            <w:pPr>
              <w:rPr>
                <w:rFonts w:cs="Arial"/>
                <w:color w:val="auto"/>
                <w:sz w:val="20"/>
                <w:szCs w:val="20"/>
              </w:rPr>
            </w:pP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栏次</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　</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w:t>
            </w:r>
          </w:p>
        </w:tc>
        <w:tc>
          <w:tcPr>
            <w:tcW w:w="3390" w:type="dxa"/>
            <w:gridSpan w:val="4"/>
            <w:tcBorders>
              <w:top w:val="nil"/>
              <w:left w:val="nil"/>
              <w:bottom w:val="single" w:color="000000" w:sz="4" w:space="0"/>
              <w:right w:val="single" w:color="000000" w:sz="4" w:space="0"/>
            </w:tcBorders>
            <w:shd w:val="clear" w:color="auto" w:fill="auto"/>
            <w:noWrap/>
            <w:vAlign w:val="bottom"/>
          </w:tcPr>
          <w:p>
            <w:pPr>
              <w:rPr>
                <w:rFonts w:cs="Arial"/>
                <w:color w:val="auto"/>
                <w:sz w:val="20"/>
                <w:szCs w:val="20"/>
              </w:rPr>
            </w:pPr>
            <w:r>
              <w:rPr>
                <w:rFonts w:hint="eastAsia" w:cs="Arial"/>
                <w:color w:val="auto"/>
                <w:sz w:val="20"/>
                <w:szCs w:val="20"/>
              </w:rPr>
              <w:t>栏次</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　</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一、一般公共预算财政拨款</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1838.53</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一、一般公共服务支出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33</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二、政府性基金预算财政拨款</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二、外交支出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34</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三、国有资本经营财政拨款</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三、国防支出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35</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四、公共安全支出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36</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1429.76</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rPr>
              <w:t>1,4</w:t>
            </w:r>
            <w:r>
              <w:rPr>
                <w:rFonts w:hint="eastAsia" w:cs="Arial"/>
                <w:color w:val="auto"/>
                <w:sz w:val="20"/>
                <w:szCs w:val="20"/>
                <w:lang w:val="en-US" w:eastAsia="zh-CN"/>
              </w:rPr>
              <w:t>29.76</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五、教育支出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37</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0.00</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0.00</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6</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六、科学技术支出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38</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7</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七、文化旅游体育与传媒支出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39</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8</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八、社会保障和就业支出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40</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102.15</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102.15</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9</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九、卫生健康支出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41</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40.85</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40.85</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10</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十、节能环保支出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42</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11</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十一、城乡社区支出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43</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12</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十二、农林水支出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44</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13</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十三、交通运输支出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45</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14</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十四、资源勘探工业信息等支出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46</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15</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十五、商业服务业等支出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47</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16</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十六、金融支出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48</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17</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十七、援助其他地区支出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49</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18</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十八、自然资源海洋气象等支出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50</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19</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十九、住房保障支出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51</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rPr>
              <w:t>1</w:t>
            </w:r>
            <w:r>
              <w:rPr>
                <w:rFonts w:hint="eastAsia" w:cs="Arial"/>
                <w:color w:val="auto"/>
                <w:sz w:val="20"/>
                <w:szCs w:val="20"/>
                <w:lang w:val="en-US" w:eastAsia="zh-CN"/>
              </w:rPr>
              <w:t>64</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rPr>
              <w:t>1</w:t>
            </w:r>
            <w:r>
              <w:rPr>
                <w:rFonts w:hint="eastAsia" w:cs="Arial"/>
                <w:color w:val="auto"/>
                <w:sz w:val="20"/>
                <w:szCs w:val="20"/>
                <w:lang w:val="en-US" w:eastAsia="zh-CN"/>
              </w:rPr>
              <w:t>64</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20</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二十、粮油物资储备支出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52</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21</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二十一、国有资本经营预算支出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53</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22</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二十二、灾害防治及应急管理支出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54</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23</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二十三、其他支出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55</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color w:val="auto"/>
                <w:sz w:val="20"/>
                <w:szCs w:val="20"/>
              </w:rPr>
            </w:pPr>
            <w:r>
              <w:rPr>
                <w:rFonts w:hint="eastAsia" w:cs="Arial"/>
                <w:b/>
                <w:bCs/>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24</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二十四、债务还本支出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56</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25</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二十五、债务付息支出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57</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26</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二十六、抗疫特别国债安排的支出</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58</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b/>
                <w:bCs/>
                <w:color w:val="auto"/>
                <w:sz w:val="20"/>
                <w:szCs w:val="20"/>
              </w:rPr>
            </w:pPr>
            <w:r>
              <w:rPr>
                <w:rFonts w:hint="eastAsia" w:cs="Arial"/>
                <w:b/>
                <w:bCs/>
                <w:color w:val="auto"/>
                <w:sz w:val="20"/>
                <w:szCs w:val="20"/>
              </w:rPr>
              <w:t>本年收入合计</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27</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1838.53</w:t>
            </w:r>
          </w:p>
        </w:tc>
        <w:tc>
          <w:tcPr>
            <w:tcW w:w="3390" w:type="dxa"/>
            <w:gridSpan w:val="4"/>
            <w:tcBorders>
              <w:top w:val="nil"/>
              <w:left w:val="nil"/>
              <w:bottom w:val="single" w:color="000000" w:sz="4" w:space="0"/>
              <w:right w:val="single" w:color="000000" w:sz="4" w:space="0"/>
            </w:tcBorders>
            <w:shd w:val="clear" w:color="auto" w:fill="auto"/>
            <w:noWrap/>
            <w:vAlign w:val="center"/>
          </w:tcPr>
          <w:p>
            <w:pPr>
              <w:jc w:val="center"/>
              <w:rPr>
                <w:rFonts w:cs="Arial"/>
                <w:b/>
                <w:bCs/>
                <w:color w:val="auto"/>
                <w:sz w:val="20"/>
                <w:szCs w:val="20"/>
              </w:rPr>
            </w:pPr>
            <w:r>
              <w:rPr>
                <w:rFonts w:hint="eastAsia" w:cs="Arial"/>
                <w:b/>
                <w:bCs/>
                <w:color w:val="auto"/>
                <w:sz w:val="20"/>
                <w:szCs w:val="20"/>
              </w:rPr>
              <w:t>本年支出合计</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59</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rPr>
              <w:t>1,7</w:t>
            </w:r>
            <w:r>
              <w:rPr>
                <w:rFonts w:hint="eastAsia" w:cs="Arial"/>
                <w:color w:val="auto"/>
                <w:sz w:val="20"/>
                <w:szCs w:val="20"/>
                <w:lang w:val="en-US" w:eastAsia="zh-CN"/>
              </w:rPr>
              <w:t>36.76</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rPr>
              <w:t>1,7</w:t>
            </w:r>
            <w:r>
              <w:rPr>
                <w:rFonts w:hint="eastAsia" w:cs="Arial"/>
                <w:color w:val="auto"/>
                <w:sz w:val="20"/>
                <w:szCs w:val="20"/>
                <w:lang w:val="en-US" w:eastAsia="zh-CN"/>
              </w:rPr>
              <w:t>36.76</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年初财政拨款结转和结余</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28</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174.46</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年末财政拨款结转和结余</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60</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276.22</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rPr>
              <w:t>2</w:t>
            </w:r>
            <w:r>
              <w:rPr>
                <w:rFonts w:hint="eastAsia" w:cs="Arial"/>
                <w:color w:val="auto"/>
                <w:sz w:val="20"/>
                <w:szCs w:val="20"/>
                <w:lang w:val="en-US" w:eastAsia="zh-CN"/>
              </w:rPr>
              <w:t>76.22</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xml:space="preserve">  一般公共预算财政拨款</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29</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174.46</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61</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xml:space="preserve">  政府性基金预算财政拨款</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30</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62</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xml:space="preserve">  国有资本经营预算财政拨款</w:t>
            </w:r>
          </w:p>
        </w:tc>
        <w:tc>
          <w:tcPr>
            <w:tcW w:w="706" w:type="dxa"/>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31</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color w:val="auto"/>
                <w:sz w:val="20"/>
                <w:szCs w:val="20"/>
              </w:rPr>
            </w:pPr>
            <w:r>
              <w:rPr>
                <w:rFonts w:hint="eastAsia" w:cs="Arial"/>
                <w:color w:val="auto"/>
                <w:sz w:val="20"/>
                <w:szCs w:val="20"/>
              </w:rPr>
              <w:t>　</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63</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trHeight w:val="300" w:hRule="atLeast"/>
        </w:trPr>
        <w:tc>
          <w:tcPr>
            <w:tcW w:w="2275" w:type="dxa"/>
            <w:tcBorders>
              <w:top w:val="nil"/>
              <w:left w:val="single" w:color="000000" w:sz="4" w:space="0"/>
              <w:bottom w:val="single" w:color="000000" w:sz="4" w:space="0"/>
              <w:right w:val="single" w:color="000000" w:sz="4" w:space="0"/>
            </w:tcBorders>
            <w:shd w:val="clear" w:color="auto" w:fill="auto"/>
            <w:noWrap/>
            <w:vAlign w:val="center"/>
          </w:tcPr>
          <w:p>
            <w:pPr>
              <w:rPr>
                <w:rFonts w:cs="Arial"/>
                <w:b/>
                <w:bCs/>
                <w:color w:val="auto"/>
                <w:sz w:val="20"/>
                <w:szCs w:val="20"/>
              </w:rPr>
            </w:pPr>
            <w:r>
              <w:rPr>
                <w:rFonts w:hint="eastAsia" w:cs="Arial"/>
                <w:b/>
                <w:bCs/>
                <w:color w:val="auto"/>
                <w:sz w:val="20"/>
                <w:szCs w:val="20"/>
              </w:rPr>
              <w:t>总计</w:t>
            </w:r>
          </w:p>
        </w:tc>
        <w:tc>
          <w:tcPr>
            <w:tcW w:w="706" w:type="dxa"/>
            <w:tcBorders>
              <w:top w:val="nil"/>
              <w:left w:val="nil"/>
              <w:bottom w:val="single" w:color="000000" w:sz="12"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32</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2012.99</w:t>
            </w:r>
          </w:p>
        </w:tc>
        <w:tc>
          <w:tcPr>
            <w:tcW w:w="3390" w:type="dxa"/>
            <w:gridSpan w:val="4"/>
            <w:tcBorders>
              <w:top w:val="nil"/>
              <w:left w:val="nil"/>
              <w:bottom w:val="single" w:color="000000" w:sz="4" w:space="0"/>
              <w:right w:val="single" w:color="000000" w:sz="4" w:space="0"/>
            </w:tcBorders>
            <w:shd w:val="clear" w:color="auto" w:fill="auto"/>
            <w:noWrap/>
            <w:vAlign w:val="center"/>
          </w:tcPr>
          <w:p>
            <w:pPr>
              <w:rPr>
                <w:rFonts w:cs="Arial"/>
                <w:b/>
                <w:bCs/>
                <w:color w:val="auto"/>
                <w:sz w:val="20"/>
                <w:szCs w:val="20"/>
              </w:rPr>
            </w:pPr>
            <w:r>
              <w:rPr>
                <w:rFonts w:hint="eastAsia" w:cs="Arial"/>
                <w:b/>
                <w:bCs/>
                <w:color w:val="auto"/>
                <w:sz w:val="20"/>
                <w:szCs w:val="20"/>
              </w:rPr>
              <w:t>总计</w:t>
            </w:r>
          </w:p>
        </w:tc>
        <w:tc>
          <w:tcPr>
            <w:tcW w:w="423" w:type="dxa"/>
            <w:gridSpan w:val="2"/>
            <w:tcBorders>
              <w:top w:val="nil"/>
              <w:left w:val="nil"/>
              <w:bottom w:val="single" w:color="000000" w:sz="4" w:space="0"/>
              <w:right w:val="single" w:color="000000" w:sz="4" w:space="0"/>
            </w:tcBorders>
            <w:shd w:val="clear" w:color="auto" w:fill="auto"/>
            <w:noWrap/>
            <w:vAlign w:val="center"/>
          </w:tcPr>
          <w:p>
            <w:pPr>
              <w:jc w:val="center"/>
              <w:rPr>
                <w:rFonts w:cs="Arial"/>
                <w:color w:val="auto"/>
                <w:sz w:val="20"/>
                <w:szCs w:val="20"/>
              </w:rPr>
            </w:pPr>
            <w:r>
              <w:rPr>
                <w:rFonts w:hint="eastAsia" w:cs="Arial"/>
                <w:color w:val="auto"/>
                <w:sz w:val="20"/>
                <w:szCs w:val="20"/>
              </w:rPr>
              <w:t>64</w:t>
            </w:r>
          </w:p>
        </w:tc>
        <w:tc>
          <w:tcPr>
            <w:tcW w:w="119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2012.99</w:t>
            </w:r>
          </w:p>
        </w:tc>
        <w:tc>
          <w:tcPr>
            <w:tcW w:w="1271" w:type="dxa"/>
            <w:gridSpan w:val="2"/>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color w:val="auto"/>
                <w:sz w:val="20"/>
                <w:szCs w:val="20"/>
                <w:lang w:val="en-US" w:eastAsia="zh-CN"/>
              </w:rPr>
            </w:pPr>
            <w:r>
              <w:rPr>
                <w:rFonts w:hint="eastAsia" w:cs="Arial"/>
                <w:color w:val="auto"/>
                <w:sz w:val="20"/>
                <w:szCs w:val="20"/>
                <w:lang w:val="en-US" w:eastAsia="zh-CN"/>
              </w:rPr>
              <w:t>2012.99</w:t>
            </w:r>
          </w:p>
        </w:tc>
        <w:tc>
          <w:tcPr>
            <w:tcW w:w="1350"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c>
          <w:tcPr>
            <w:tcW w:w="2059" w:type="dxa"/>
            <w:gridSpan w:val="2"/>
            <w:tcBorders>
              <w:top w:val="nil"/>
              <w:left w:val="nil"/>
              <w:bottom w:val="single" w:color="000000" w:sz="4" w:space="0"/>
              <w:right w:val="single" w:color="000000" w:sz="4" w:space="0"/>
            </w:tcBorders>
            <w:shd w:val="clear" w:color="auto" w:fill="auto"/>
            <w:noWrap/>
            <w:vAlign w:val="center"/>
          </w:tcPr>
          <w:p>
            <w:pPr>
              <w:jc w:val="right"/>
              <w:rPr>
                <w:rFonts w:cs="Arial"/>
                <w:color w:val="auto"/>
                <w:sz w:val="20"/>
                <w:szCs w:val="20"/>
              </w:rPr>
            </w:pPr>
            <w:r>
              <w:rPr>
                <w:rFonts w:hint="eastAsia" w:cs="Arial"/>
                <w:color w:val="auto"/>
                <w:sz w:val="20"/>
                <w:szCs w:val="20"/>
              </w:rPr>
              <w:t>　</w:t>
            </w:r>
          </w:p>
        </w:tc>
      </w:tr>
      <w:tr>
        <w:tblPrEx>
          <w:tblCellMar>
            <w:top w:w="0" w:type="dxa"/>
            <w:left w:w="108" w:type="dxa"/>
            <w:bottom w:w="0" w:type="dxa"/>
            <w:right w:w="108" w:type="dxa"/>
          </w:tblCellMar>
        </w:tblPrEx>
        <w:trPr>
          <w:gridAfter w:val="1"/>
          <w:wAfter w:w="306" w:type="dxa"/>
          <w:trHeight w:val="300" w:hRule="atLeast"/>
        </w:trPr>
        <w:tc>
          <w:tcPr>
            <w:tcW w:w="13550" w:type="dxa"/>
            <w:gridSpan w:val="17"/>
            <w:tcBorders>
              <w:top w:val="nil"/>
              <w:left w:val="nil"/>
              <w:bottom w:val="nil"/>
              <w:right w:val="nil"/>
            </w:tcBorders>
            <w:shd w:val="clear" w:color="auto" w:fill="auto"/>
            <w:noWrap/>
            <w:vAlign w:val="center"/>
          </w:tcPr>
          <w:p>
            <w:pPr>
              <w:rPr>
                <w:rFonts w:cs="Arial"/>
                <w:color w:val="auto"/>
                <w:sz w:val="20"/>
                <w:szCs w:val="20"/>
              </w:rPr>
            </w:pPr>
            <w:r>
              <w:rPr>
                <w:rFonts w:hint="eastAsia" w:cs="Arial"/>
                <w:color w:val="auto"/>
                <w:sz w:val="20"/>
                <w:szCs w:val="20"/>
              </w:rPr>
              <w:t>注：本表反映部门本年度一般公共预算财政拨款、政府性基金预算财政拨款和国有资本经营预算财政拨款的总收支和年末结转结余情况。</w:t>
            </w:r>
          </w:p>
          <w:p>
            <w:pPr>
              <w:rPr>
                <w:rFonts w:cs="Arial"/>
                <w:color w:val="auto"/>
                <w:sz w:val="20"/>
                <w:szCs w:val="20"/>
              </w:rPr>
            </w:pPr>
            <w:r>
              <w:rPr>
                <w:rFonts w:hint="eastAsia" w:cs="Arial"/>
                <w:color w:val="auto"/>
                <w:sz w:val="20"/>
                <w:szCs w:val="20"/>
              </w:rPr>
              <w:t>　</w:t>
            </w:r>
          </w:p>
        </w:tc>
      </w:tr>
    </w:tbl>
    <w:p>
      <w:pPr>
        <w:sectPr>
          <w:pgSz w:w="16851" w:h="11915" w:orient="landscape"/>
          <w:pgMar w:top="1800" w:right="1440" w:bottom="1800" w:left="1440" w:header="851" w:footer="992" w:gutter="0"/>
          <w:cols w:space="720" w:num="1"/>
          <w:docGrid w:type="lines" w:linePitch="312" w:charSpace="0"/>
        </w:sectPr>
      </w:pPr>
    </w:p>
    <w:p>
      <w:pPr>
        <w:pStyle w:val="13"/>
        <w:adjustRightInd w:val="0"/>
        <w:snapToGrid w:val="0"/>
        <w:spacing w:before="0" w:beforeAutospacing="0" w:after="0" w:afterAutospacing="0"/>
        <w:ind w:firstLine="480" w:firstLineChars="150"/>
        <w:outlineLvl w:val="1"/>
        <w:rPr>
          <w:rFonts w:ascii="楷体_GB2312" w:hAnsi="楷体" w:eastAsia="楷体_GB2312" w:cs="楷体"/>
          <w:sz w:val="32"/>
          <w:szCs w:val="32"/>
          <w:shd w:val="clear" w:color="auto" w:fill="FFFFFF"/>
        </w:rPr>
      </w:pPr>
      <w:bookmarkStart w:id="10" w:name="_Toc32082"/>
      <w:r>
        <w:rPr>
          <w:rFonts w:hint="eastAsia" w:ascii="楷体_GB2312" w:hAnsi="楷体" w:eastAsia="楷体_GB2312" w:cs="楷体"/>
          <w:sz w:val="32"/>
          <w:szCs w:val="32"/>
          <w:shd w:val="clear" w:color="auto" w:fill="FFFFFF"/>
        </w:rPr>
        <w:t>五、一般公共预算财政拨款支出决算表</w:t>
      </w:r>
      <w:bookmarkEnd w:id="10"/>
    </w:p>
    <w:tbl>
      <w:tblPr>
        <w:tblStyle w:val="14"/>
        <w:tblW w:w="8954" w:type="dxa"/>
        <w:tblInd w:w="0" w:type="dxa"/>
        <w:tblLayout w:type="fixed"/>
        <w:tblCellMar>
          <w:top w:w="0" w:type="dxa"/>
          <w:left w:w="108" w:type="dxa"/>
          <w:bottom w:w="0" w:type="dxa"/>
          <w:right w:w="108" w:type="dxa"/>
        </w:tblCellMar>
      </w:tblPr>
      <w:tblGrid>
        <w:gridCol w:w="1334"/>
        <w:gridCol w:w="338"/>
        <w:gridCol w:w="240"/>
        <w:gridCol w:w="2360"/>
        <w:gridCol w:w="1425"/>
        <w:gridCol w:w="1487"/>
        <w:gridCol w:w="1770"/>
      </w:tblGrid>
      <w:tr>
        <w:tblPrEx>
          <w:tblCellMar>
            <w:top w:w="0" w:type="dxa"/>
            <w:left w:w="108" w:type="dxa"/>
            <w:bottom w:w="0" w:type="dxa"/>
            <w:right w:w="108" w:type="dxa"/>
          </w:tblCellMar>
        </w:tblPrEx>
        <w:trPr>
          <w:trHeight w:val="305" w:hRule="atLeast"/>
        </w:trPr>
        <w:tc>
          <w:tcPr>
            <w:tcW w:w="1334" w:type="dxa"/>
            <w:tcBorders>
              <w:top w:val="nil"/>
              <w:left w:val="nil"/>
              <w:bottom w:val="nil"/>
              <w:right w:val="nil"/>
            </w:tcBorders>
            <w:shd w:val="clear" w:color="000000" w:fill="auto"/>
            <w:noWrap/>
            <w:vAlign w:val="center"/>
          </w:tcPr>
          <w:p>
            <w:pPr>
              <w:jc w:val="left"/>
              <w:rPr>
                <w:rFonts w:cs="Arial"/>
                <w:sz w:val="18"/>
                <w:szCs w:val="18"/>
              </w:rPr>
            </w:pPr>
          </w:p>
        </w:tc>
        <w:tc>
          <w:tcPr>
            <w:tcW w:w="338" w:type="dxa"/>
            <w:tcBorders>
              <w:top w:val="nil"/>
              <w:left w:val="nil"/>
              <w:bottom w:val="nil"/>
              <w:right w:val="nil"/>
            </w:tcBorders>
            <w:shd w:val="clear" w:color="000000" w:fill="auto"/>
            <w:noWrap/>
            <w:vAlign w:val="center"/>
          </w:tcPr>
          <w:p>
            <w:pPr>
              <w:jc w:val="left"/>
              <w:rPr>
                <w:rFonts w:cs="Arial"/>
                <w:sz w:val="18"/>
                <w:szCs w:val="18"/>
              </w:rPr>
            </w:pPr>
          </w:p>
        </w:tc>
        <w:tc>
          <w:tcPr>
            <w:tcW w:w="240" w:type="dxa"/>
            <w:tcBorders>
              <w:top w:val="nil"/>
              <w:left w:val="nil"/>
              <w:bottom w:val="nil"/>
              <w:right w:val="nil"/>
            </w:tcBorders>
            <w:shd w:val="clear" w:color="000000" w:fill="auto"/>
            <w:noWrap/>
            <w:vAlign w:val="center"/>
          </w:tcPr>
          <w:p>
            <w:pPr>
              <w:jc w:val="left"/>
              <w:rPr>
                <w:rFonts w:cs="Arial"/>
                <w:sz w:val="18"/>
                <w:szCs w:val="18"/>
              </w:rPr>
            </w:pPr>
          </w:p>
        </w:tc>
        <w:tc>
          <w:tcPr>
            <w:tcW w:w="2360" w:type="dxa"/>
            <w:tcBorders>
              <w:top w:val="nil"/>
              <w:left w:val="nil"/>
              <w:bottom w:val="nil"/>
              <w:right w:val="nil"/>
            </w:tcBorders>
            <w:shd w:val="clear" w:color="000000" w:fill="auto"/>
            <w:noWrap/>
            <w:vAlign w:val="center"/>
          </w:tcPr>
          <w:p>
            <w:pPr>
              <w:jc w:val="left"/>
              <w:rPr>
                <w:rFonts w:cs="Arial"/>
                <w:sz w:val="18"/>
                <w:szCs w:val="18"/>
              </w:rPr>
            </w:pPr>
          </w:p>
        </w:tc>
        <w:tc>
          <w:tcPr>
            <w:tcW w:w="1425" w:type="dxa"/>
            <w:tcBorders>
              <w:top w:val="nil"/>
              <w:left w:val="nil"/>
              <w:bottom w:val="nil"/>
              <w:right w:val="nil"/>
            </w:tcBorders>
            <w:shd w:val="clear" w:color="000000" w:fill="auto"/>
            <w:noWrap/>
            <w:vAlign w:val="center"/>
          </w:tcPr>
          <w:p>
            <w:pPr>
              <w:jc w:val="left"/>
              <w:rPr>
                <w:rFonts w:cs="Arial"/>
                <w:sz w:val="18"/>
                <w:szCs w:val="18"/>
              </w:rPr>
            </w:pPr>
          </w:p>
        </w:tc>
        <w:tc>
          <w:tcPr>
            <w:tcW w:w="1487" w:type="dxa"/>
            <w:tcBorders>
              <w:top w:val="nil"/>
              <w:left w:val="nil"/>
              <w:bottom w:val="nil"/>
              <w:right w:val="nil"/>
            </w:tcBorders>
            <w:shd w:val="clear" w:color="000000" w:fill="auto"/>
            <w:noWrap/>
            <w:vAlign w:val="center"/>
          </w:tcPr>
          <w:p>
            <w:pPr>
              <w:jc w:val="left"/>
              <w:rPr>
                <w:rFonts w:cs="Arial"/>
                <w:sz w:val="18"/>
                <w:szCs w:val="18"/>
              </w:rPr>
            </w:pPr>
          </w:p>
        </w:tc>
        <w:tc>
          <w:tcPr>
            <w:tcW w:w="1770" w:type="dxa"/>
            <w:tcBorders>
              <w:top w:val="nil"/>
              <w:left w:val="nil"/>
              <w:bottom w:val="nil"/>
              <w:right w:val="single" w:color="808080" w:sz="4" w:space="0"/>
            </w:tcBorders>
            <w:shd w:val="clear" w:color="000000" w:fill="auto"/>
            <w:noWrap/>
            <w:vAlign w:val="center"/>
          </w:tcPr>
          <w:p>
            <w:pPr>
              <w:keepNext w:val="0"/>
              <w:keepLines w:val="0"/>
              <w:widowControl/>
              <w:suppressLineNumbers w:val="0"/>
              <w:jc w:val="right"/>
              <w:textAlignment w:val="center"/>
              <w:rPr>
                <w:rFonts w:cs="Arial"/>
                <w:color w:val="000000"/>
                <w:sz w:val="22"/>
                <w:szCs w:val="22"/>
              </w:rPr>
            </w:pPr>
            <w:r>
              <w:rPr>
                <w:rFonts w:hint="eastAsia" w:ascii="宋体" w:hAnsi="宋体" w:eastAsia="宋体" w:cs="宋体"/>
                <w:i w:val="0"/>
                <w:color w:val="000000"/>
                <w:kern w:val="0"/>
                <w:sz w:val="22"/>
                <w:szCs w:val="22"/>
                <w:u w:val="none"/>
                <w:lang w:val="en-US" w:eastAsia="zh-CN" w:bidi="ar"/>
              </w:rPr>
              <w:t>公开05表</w:t>
            </w:r>
          </w:p>
        </w:tc>
      </w:tr>
      <w:tr>
        <w:tblPrEx>
          <w:tblCellMar>
            <w:top w:w="0" w:type="dxa"/>
            <w:left w:w="108" w:type="dxa"/>
            <w:bottom w:w="0" w:type="dxa"/>
            <w:right w:w="108" w:type="dxa"/>
          </w:tblCellMar>
        </w:tblPrEx>
        <w:trPr>
          <w:trHeight w:val="300" w:hRule="atLeast"/>
        </w:trPr>
        <w:tc>
          <w:tcPr>
            <w:tcW w:w="4272" w:type="dxa"/>
            <w:gridSpan w:val="4"/>
            <w:tcBorders>
              <w:top w:val="nil"/>
              <w:left w:val="nil"/>
              <w:bottom w:val="single" w:color="808080" w:sz="4" w:space="0"/>
              <w:right w:val="nil"/>
            </w:tcBorders>
            <w:shd w:val="clear" w:color="000000" w:fill="auto"/>
            <w:noWrap/>
            <w:vAlign w:val="center"/>
          </w:tcPr>
          <w:p>
            <w:pPr>
              <w:keepNext w:val="0"/>
              <w:keepLines w:val="0"/>
              <w:widowControl/>
              <w:suppressLineNumbers w:val="0"/>
              <w:jc w:val="both"/>
              <w:textAlignment w:val="center"/>
              <w:rPr>
                <w:rFonts w:cs="Arial"/>
                <w:color w:val="000000"/>
                <w:sz w:val="22"/>
                <w:szCs w:val="22"/>
              </w:rPr>
            </w:pPr>
            <w:r>
              <w:rPr>
                <w:rFonts w:hint="eastAsia" w:ascii="宋体" w:hAnsi="宋体" w:eastAsia="宋体" w:cs="宋体"/>
                <w:i w:val="0"/>
                <w:color w:val="000000"/>
                <w:kern w:val="0"/>
                <w:sz w:val="22"/>
                <w:szCs w:val="22"/>
                <w:u w:val="none"/>
                <w:lang w:val="en-US" w:eastAsia="zh-CN" w:bidi="ar"/>
              </w:rPr>
              <w:t>部门：常德市武陵区人民检察院</w:t>
            </w:r>
          </w:p>
        </w:tc>
        <w:tc>
          <w:tcPr>
            <w:tcW w:w="1425" w:type="dxa"/>
            <w:tcBorders>
              <w:top w:val="nil"/>
              <w:left w:val="nil"/>
              <w:bottom w:val="single" w:color="808080" w:sz="4" w:space="0"/>
              <w:right w:val="nil"/>
            </w:tcBorders>
            <w:shd w:val="clear" w:color="000000" w:fill="auto"/>
            <w:noWrap/>
            <w:vAlign w:val="center"/>
          </w:tcPr>
          <w:p>
            <w:pPr>
              <w:jc w:val="center"/>
              <w:rPr>
                <w:rFonts w:hint="default" w:eastAsia="宋体" w:cs="Arial"/>
                <w:sz w:val="22"/>
                <w:szCs w:val="22"/>
                <w:lang w:val="en-US" w:eastAsia="zh-CN"/>
              </w:rPr>
            </w:pPr>
            <w:r>
              <w:rPr>
                <w:rFonts w:hint="eastAsia" w:asciiTheme="minorEastAsia" w:hAnsiTheme="minorEastAsia" w:eastAsiaTheme="minorEastAsia" w:cstheme="minorEastAsia"/>
                <w:sz w:val="22"/>
                <w:szCs w:val="22"/>
                <w:lang w:val="en-US" w:eastAsia="zh-CN"/>
              </w:rPr>
              <w:t>2021年</w:t>
            </w:r>
          </w:p>
        </w:tc>
        <w:tc>
          <w:tcPr>
            <w:tcW w:w="1487" w:type="dxa"/>
            <w:tcBorders>
              <w:top w:val="nil"/>
              <w:left w:val="nil"/>
              <w:bottom w:val="single" w:color="808080" w:sz="4" w:space="0"/>
              <w:right w:val="single" w:color="808080" w:sz="4" w:space="0"/>
            </w:tcBorders>
            <w:shd w:val="clear" w:color="000000" w:fill="auto"/>
            <w:noWrap/>
            <w:vAlign w:val="center"/>
          </w:tcPr>
          <w:p>
            <w:pPr>
              <w:jc w:val="left"/>
              <w:rPr>
                <w:rFonts w:cs="Arial"/>
                <w:color w:val="000000"/>
                <w:sz w:val="22"/>
                <w:szCs w:val="22"/>
              </w:rPr>
            </w:pPr>
          </w:p>
        </w:tc>
        <w:tc>
          <w:tcPr>
            <w:tcW w:w="1770" w:type="dxa"/>
            <w:tcBorders>
              <w:top w:val="nil"/>
              <w:left w:val="nil"/>
              <w:bottom w:val="single" w:color="808080" w:sz="4" w:space="0"/>
              <w:right w:val="single" w:color="808080" w:sz="4" w:space="0"/>
            </w:tcBorders>
            <w:shd w:val="clear" w:color="000000" w:fill="auto"/>
            <w:noWrap/>
            <w:vAlign w:val="center"/>
          </w:tcPr>
          <w:p>
            <w:pPr>
              <w:keepNext w:val="0"/>
              <w:keepLines w:val="0"/>
              <w:widowControl/>
              <w:suppressLineNumbers w:val="0"/>
              <w:jc w:val="right"/>
              <w:textAlignment w:val="cente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108" w:type="dxa"/>
            <w:bottom w:w="0" w:type="dxa"/>
            <w:right w:w="108" w:type="dxa"/>
          </w:tblCellMar>
        </w:tblPrEx>
        <w:trPr>
          <w:trHeight w:val="300" w:hRule="atLeast"/>
        </w:trPr>
        <w:tc>
          <w:tcPr>
            <w:tcW w:w="4272" w:type="dxa"/>
            <w:gridSpan w:val="4"/>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both"/>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项目</w:t>
            </w:r>
          </w:p>
        </w:tc>
        <w:tc>
          <w:tcPr>
            <w:tcW w:w="4682" w:type="dxa"/>
            <w:gridSpan w:val="3"/>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本年支出</w:t>
            </w:r>
          </w:p>
        </w:tc>
      </w:tr>
      <w:tr>
        <w:tblPrEx>
          <w:tblCellMar>
            <w:top w:w="0" w:type="dxa"/>
            <w:left w:w="108" w:type="dxa"/>
            <w:bottom w:w="0" w:type="dxa"/>
            <w:right w:w="108" w:type="dxa"/>
          </w:tblCellMar>
        </w:tblPrEx>
        <w:trPr>
          <w:trHeight w:val="300" w:hRule="atLeast"/>
        </w:trPr>
        <w:tc>
          <w:tcPr>
            <w:tcW w:w="1912" w:type="dxa"/>
            <w:gridSpan w:val="3"/>
            <w:vMerge w:val="restart"/>
            <w:tcBorders>
              <w:top w:val="nil"/>
              <w:left w:val="single" w:color="000000" w:sz="4" w:space="0"/>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功能分类科目编码</w:t>
            </w:r>
          </w:p>
        </w:tc>
        <w:tc>
          <w:tcPr>
            <w:tcW w:w="2360" w:type="dxa"/>
            <w:vMerge w:val="restar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科目名称</w:t>
            </w:r>
          </w:p>
        </w:tc>
        <w:tc>
          <w:tcPr>
            <w:tcW w:w="1425" w:type="dxa"/>
            <w:vMerge w:val="restar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小计</w:t>
            </w:r>
          </w:p>
        </w:tc>
        <w:tc>
          <w:tcPr>
            <w:tcW w:w="1487" w:type="dxa"/>
            <w:vMerge w:val="restar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基本支出</w:t>
            </w:r>
          </w:p>
        </w:tc>
        <w:tc>
          <w:tcPr>
            <w:tcW w:w="1770" w:type="dxa"/>
            <w:vMerge w:val="restar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项目支出</w:t>
            </w:r>
          </w:p>
        </w:tc>
      </w:tr>
      <w:tr>
        <w:tblPrEx>
          <w:tblCellMar>
            <w:top w:w="0" w:type="dxa"/>
            <w:left w:w="108" w:type="dxa"/>
            <w:bottom w:w="0" w:type="dxa"/>
            <w:right w:w="108" w:type="dxa"/>
          </w:tblCellMar>
        </w:tblPrEx>
        <w:trPr>
          <w:trHeight w:val="270" w:hRule="atLeast"/>
        </w:trPr>
        <w:tc>
          <w:tcPr>
            <w:tcW w:w="1912" w:type="dxa"/>
            <w:gridSpan w:val="3"/>
            <w:vMerge w:val="continue"/>
            <w:tcBorders>
              <w:top w:val="nil"/>
              <w:left w:val="single" w:color="000000" w:sz="4" w:space="0"/>
              <w:bottom w:val="single" w:color="000000" w:sz="4" w:space="0"/>
              <w:right w:val="single" w:color="000000" w:sz="4" w:space="0"/>
            </w:tcBorders>
            <w:shd w:val="clear" w:color="000000" w:fill="auto"/>
            <w:vAlign w:val="center"/>
          </w:tcPr>
          <w:p>
            <w:pPr>
              <w:rPr>
                <w:rFonts w:cs="Arial"/>
                <w:sz w:val="20"/>
                <w:szCs w:val="20"/>
              </w:rPr>
            </w:pPr>
          </w:p>
        </w:tc>
        <w:tc>
          <w:tcPr>
            <w:tcW w:w="2360"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c>
          <w:tcPr>
            <w:tcW w:w="1425"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c>
          <w:tcPr>
            <w:tcW w:w="1487"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c>
          <w:tcPr>
            <w:tcW w:w="1770"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1912" w:type="dxa"/>
            <w:gridSpan w:val="3"/>
            <w:vMerge w:val="continue"/>
            <w:tcBorders>
              <w:top w:val="nil"/>
              <w:left w:val="single" w:color="000000" w:sz="4" w:space="0"/>
              <w:bottom w:val="single" w:color="000000" w:sz="4" w:space="0"/>
              <w:right w:val="single" w:color="000000" w:sz="4" w:space="0"/>
            </w:tcBorders>
            <w:shd w:val="clear" w:color="000000" w:fill="auto"/>
            <w:vAlign w:val="center"/>
          </w:tcPr>
          <w:p>
            <w:pPr>
              <w:rPr>
                <w:rFonts w:cs="Arial"/>
                <w:sz w:val="20"/>
                <w:szCs w:val="20"/>
              </w:rPr>
            </w:pPr>
          </w:p>
        </w:tc>
        <w:tc>
          <w:tcPr>
            <w:tcW w:w="2360"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c>
          <w:tcPr>
            <w:tcW w:w="1425"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c>
          <w:tcPr>
            <w:tcW w:w="1487"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c>
          <w:tcPr>
            <w:tcW w:w="1770" w:type="dxa"/>
            <w:vMerge w:val="continue"/>
            <w:tcBorders>
              <w:top w:val="nil"/>
              <w:left w:val="nil"/>
              <w:bottom w:val="single" w:color="000000" w:sz="4" w:space="0"/>
              <w:right w:val="single" w:color="000000" w:sz="4" w:space="0"/>
            </w:tcBorders>
            <w:shd w:val="clear" w:color="000000"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4272" w:type="dxa"/>
            <w:gridSpan w:val="4"/>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栏次</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w:t>
            </w:r>
          </w:p>
        </w:tc>
      </w:tr>
      <w:tr>
        <w:tblPrEx>
          <w:tblCellMar>
            <w:top w:w="0" w:type="dxa"/>
            <w:left w:w="108" w:type="dxa"/>
            <w:bottom w:w="0" w:type="dxa"/>
            <w:right w:w="108" w:type="dxa"/>
          </w:tblCellMar>
        </w:tblPrEx>
        <w:trPr>
          <w:trHeight w:val="300" w:hRule="atLeast"/>
        </w:trPr>
        <w:tc>
          <w:tcPr>
            <w:tcW w:w="4272" w:type="dxa"/>
            <w:gridSpan w:val="4"/>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both"/>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合计</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1,736.76</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1,652.99</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83.77</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204</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公共安全支出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1,429.76</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1,345.99</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83.77</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20404</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检察</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1,429.76</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1,345.99</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83.77</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2040401</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行政运行</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1,283.83</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1,283.83</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2040402</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一般行政管理事务</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83.77</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83.77</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2040410</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检察监督</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62.16</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62.16</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208</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社会保障和就业支出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102.15</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102.15</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20805</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行政事业单位养老支出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91.55</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91.55</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2080501</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行政单位离退休</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11.68</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11.68</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2080505</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79.86</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79.86</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20899</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其他社会保障和就业支出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10.60</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10.60</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2089999</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其他社会保障和就业支出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10.60</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10.60</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210</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卫生健康支出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40.85</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40.85</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21011</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行政事业单位医疗</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40.85</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40.85</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2101101</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行政单位医疗</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40.85</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40.85</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221</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住房保障支出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164.00</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164.00</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22102</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住房改革支出</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164.00</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164.00</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b/>
                <w:bCs/>
                <w:sz w:val="20"/>
                <w:szCs w:val="20"/>
              </w:rPr>
            </w:pPr>
            <w:r>
              <w:rPr>
                <w:rFonts w:hint="eastAsia" w:ascii="宋体" w:hAnsi="宋体" w:eastAsia="宋体" w:cs="宋体"/>
                <w:b/>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1912" w:type="dxa"/>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2210201</w:t>
            </w:r>
          </w:p>
        </w:tc>
        <w:tc>
          <w:tcPr>
            <w:tcW w:w="236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1425"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164.00</w:t>
            </w:r>
          </w:p>
        </w:tc>
        <w:tc>
          <w:tcPr>
            <w:tcW w:w="1487"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164.00</w:t>
            </w:r>
          </w:p>
        </w:tc>
        <w:tc>
          <w:tcPr>
            <w:tcW w:w="1770" w:type="dxa"/>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300" w:hRule="atLeast"/>
        </w:trPr>
        <w:tc>
          <w:tcPr>
            <w:tcW w:w="8954" w:type="dxa"/>
            <w:gridSpan w:val="7"/>
            <w:tcBorders>
              <w:top w:val="nil"/>
              <w:left w:val="nil"/>
              <w:bottom w:val="nil"/>
              <w:right w:val="nil"/>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注：本表反映部门本年度一般公共预算财政拨款支出情况。</w:t>
            </w:r>
          </w:p>
        </w:tc>
      </w:tr>
    </w:tbl>
    <w:p/>
    <w:p>
      <w:pPr>
        <w:sectPr>
          <w:pgSz w:w="11915" w:h="16851"/>
          <w:pgMar w:top="960" w:right="1800" w:bottom="1296" w:left="1800" w:header="851" w:footer="992" w:gutter="0"/>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11" w:name="_Toc21182"/>
      <w:r>
        <w:rPr>
          <w:rFonts w:hint="eastAsia" w:ascii="楷体_GB2312" w:hAnsi="楷体" w:eastAsia="楷体_GB2312" w:cs="楷体"/>
          <w:sz w:val="32"/>
          <w:szCs w:val="32"/>
          <w:shd w:val="clear" w:color="auto" w:fill="FFFFFF"/>
        </w:rPr>
        <w:t>六、一般公共预算财政拨款基本支出决算表</w:t>
      </w:r>
      <w:bookmarkEnd w:id="11"/>
    </w:p>
    <w:tbl>
      <w:tblPr>
        <w:tblStyle w:val="14"/>
        <w:tblW w:w="5165" w:type="pct"/>
        <w:tblInd w:w="0" w:type="dxa"/>
        <w:tblLayout w:type="fixed"/>
        <w:tblCellMar>
          <w:top w:w="0" w:type="dxa"/>
          <w:left w:w="108" w:type="dxa"/>
          <w:bottom w:w="0" w:type="dxa"/>
          <w:right w:w="108" w:type="dxa"/>
        </w:tblCellMar>
      </w:tblPr>
      <w:tblGrid>
        <w:gridCol w:w="1278"/>
        <w:gridCol w:w="2235"/>
        <w:gridCol w:w="1498"/>
        <w:gridCol w:w="1162"/>
        <w:gridCol w:w="1459"/>
        <w:gridCol w:w="1395"/>
        <w:gridCol w:w="1369"/>
        <w:gridCol w:w="1976"/>
        <w:gridCol w:w="1985"/>
      </w:tblGrid>
      <w:tr>
        <w:tblPrEx>
          <w:tblCellMar>
            <w:top w:w="0" w:type="dxa"/>
            <w:left w:w="108" w:type="dxa"/>
            <w:bottom w:w="0" w:type="dxa"/>
            <w:right w:w="108" w:type="dxa"/>
          </w:tblCellMar>
        </w:tblPrEx>
        <w:trPr>
          <w:trHeight w:val="90" w:hRule="atLeast"/>
        </w:trPr>
        <w:tc>
          <w:tcPr>
            <w:tcW w:w="445" w:type="pct"/>
            <w:tcBorders>
              <w:top w:val="nil"/>
              <w:left w:val="nil"/>
              <w:bottom w:val="nil"/>
              <w:right w:val="nil"/>
            </w:tcBorders>
            <w:shd w:val="clear" w:color="000000" w:fill="auto"/>
            <w:noWrap/>
            <w:vAlign w:val="center"/>
          </w:tcPr>
          <w:p>
            <w:pPr>
              <w:jc w:val="left"/>
              <w:rPr>
                <w:rFonts w:cs="Arial"/>
                <w:sz w:val="18"/>
                <w:szCs w:val="18"/>
              </w:rPr>
            </w:pPr>
          </w:p>
        </w:tc>
        <w:tc>
          <w:tcPr>
            <w:tcW w:w="778" w:type="pct"/>
            <w:tcBorders>
              <w:top w:val="nil"/>
              <w:left w:val="nil"/>
              <w:bottom w:val="nil"/>
              <w:right w:val="nil"/>
            </w:tcBorders>
            <w:shd w:val="clear" w:color="000000" w:fill="auto"/>
            <w:noWrap/>
            <w:vAlign w:val="center"/>
          </w:tcPr>
          <w:p>
            <w:pPr>
              <w:jc w:val="left"/>
              <w:rPr>
                <w:rFonts w:cs="Arial"/>
                <w:sz w:val="18"/>
                <w:szCs w:val="18"/>
              </w:rPr>
            </w:pPr>
          </w:p>
        </w:tc>
        <w:tc>
          <w:tcPr>
            <w:tcW w:w="521" w:type="pct"/>
            <w:tcBorders>
              <w:top w:val="nil"/>
              <w:left w:val="nil"/>
              <w:bottom w:val="nil"/>
              <w:right w:val="nil"/>
            </w:tcBorders>
            <w:shd w:val="clear" w:color="000000" w:fill="auto"/>
            <w:noWrap/>
            <w:vAlign w:val="center"/>
          </w:tcPr>
          <w:p>
            <w:pPr>
              <w:jc w:val="left"/>
              <w:rPr>
                <w:rFonts w:cs="Arial"/>
                <w:sz w:val="18"/>
                <w:szCs w:val="18"/>
              </w:rPr>
            </w:pPr>
          </w:p>
        </w:tc>
        <w:tc>
          <w:tcPr>
            <w:tcW w:w="404" w:type="pct"/>
            <w:tcBorders>
              <w:top w:val="nil"/>
              <w:left w:val="nil"/>
              <w:bottom w:val="nil"/>
              <w:right w:val="nil"/>
            </w:tcBorders>
            <w:shd w:val="clear" w:color="000000" w:fill="auto"/>
            <w:noWrap/>
            <w:vAlign w:val="center"/>
          </w:tcPr>
          <w:p>
            <w:pPr>
              <w:jc w:val="left"/>
              <w:rPr>
                <w:rFonts w:cs="Arial"/>
                <w:sz w:val="18"/>
                <w:szCs w:val="18"/>
              </w:rPr>
            </w:pPr>
          </w:p>
        </w:tc>
        <w:tc>
          <w:tcPr>
            <w:tcW w:w="508" w:type="pct"/>
            <w:tcBorders>
              <w:top w:val="nil"/>
              <w:left w:val="nil"/>
              <w:bottom w:val="nil"/>
              <w:right w:val="nil"/>
            </w:tcBorders>
            <w:shd w:val="clear" w:color="000000" w:fill="auto"/>
            <w:noWrap/>
            <w:vAlign w:val="center"/>
          </w:tcPr>
          <w:p>
            <w:pPr>
              <w:jc w:val="left"/>
              <w:rPr>
                <w:rFonts w:cs="Arial"/>
                <w:sz w:val="18"/>
                <w:szCs w:val="18"/>
              </w:rPr>
            </w:pPr>
          </w:p>
        </w:tc>
        <w:tc>
          <w:tcPr>
            <w:tcW w:w="485" w:type="pct"/>
            <w:tcBorders>
              <w:top w:val="nil"/>
              <w:left w:val="nil"/>
              <w:bottom w:val="nil"/>
              <w:right w:val="nil"/>
            </w:tcBorders>
            <w:shd w:val="clear" w:color="000000" w:fill="auto"/>
            <w:noWrap/>
            <w:vAlign w:val="center"/>
          </w:tcPr>
          <w:p>
            <w:pPr>
              <w:jc w:val="left"/>
              <w:rPr>
                <w:rFonts w:cs="Arial"/>
                <w:sz w:val="18"/>
                <w:szCs w:val="18"/>
              </w:rPr>
            </w:pPr>
          </w:p>
        </w:tc>
        <w:tc>
          <w:tcPr>
            <w:tcW w:w="476" w:type="pct"/>
            <w:tcBorders>
              <w:top w:val="nil"/>
              <w:left w:val="nil"/>
              <w:bottom w:val="nil"/>
              <w:right w:val="nil"/>
            </w:tcBorders>
            <w:shd w:val="clear" w:color="000000" w:fill="auto"/>
            <w:noWrap/>
            <w:vAlign w:val="center"/>
          </w:tcPr>
          <w:p>
            <w:pPr>
              <w:jc w:val="left"/>
              <w:rPr>
                <w:rFonts w:cs="Arial"/>
                <w:sz w:val="18"/>
                <w:szCs w:val="18"/>
              </w:rPr>
            </w:pPr>
          </w:p>
        </w:tc>
        <w:tc>
          <w:tcPr>
            <w:tcW w:w="688" w:type="pct"/>
            <w:tcBorders>
              <w:top w:val="nil"/>
              <w:left w:val="nil"/>
              <w:bottom w:val="nil"/>
              <w:right w:val="nil"/>
            </w:tcBorders>
            <w:shd w:val="clear" w:color="000000" w:fill="auto"/>
            <w:noWrap/>
            <w:vAlign w:val="center"/>
          </w:tcPr>
          <w:p>
            <w:pPr>
              <w:jc w:val="left"/>
              <w:rPr>
                <w:rFonts w:cs="Arial"/>
                <w:sz w:val="18"/>
                <w:szCs w:val="18"/>
              </w:rPr>
            </w:pPr>
          </w:p>
        </w:tc>
        <w:tc>
          <w:tcPr>
            <w:tcW w:w="691" w:type="pct"/>
            <w:tcBorders>
              <w:top w:val="nil"/>
              <w:left w:val="nil"/>
              <w:bottom w:val="nil"/>
              <w:right w:val="single" w:color="808080" w:sz="4" w:space="0"/>
            </w:tcBorders>
            <w:shd w:val="clear" w:color="000000" w:fill="auto"/>
            <w:noWrap/>
            <w:vAlign w:val="center"/>
          </w:tcPr>
          <w:p>
            <w:pPr>
              <w:keepNext w:val="0"/>
              <w:keepLines w:val="0"/>
              <w:widowControl/>
              <w:suppressLineNumbers w:val="0"/>
              <w:jc w:val="right"/>
              <w:textAlignment w:val="center"/>
              <w:rPr>
                <w:rFonts w:cs="Arial"/>
                <w:color w:val="000000"/>
                <w:sz w:val="18"/>
                <w:szCs w:val="18"/>
              </w:rPr>
            </w:pPr>
            <w:r>
              <w:rPr>
                <w:rFonts w:hint="eastAsia" w:ascii="宋体" w:hAnsi="宋体" w:eastAsia="宋体" w:cs="宋体"/>
                <w:i w:val="0"/>
                <w:color w:val="000000"/>
                <w:kern w:val="0"/>
                <w:sz w:val="22"/>
                <w:szCs w:val="22"/>
                <w:u w:val="none"/>
                <w:lang w:val="en-US" w:eastAsia="zh-CN" w:bidi="ar"/>
              </w:rPr>
              <w:t>公开06表</w:t>
            </w:r>
          </w:p>
        </w:tc>
      </w:tr>
      <w:tr>
        <w:tblPrEx>
          <w:tblCellMar>
            <w:top w:w="0" w:type="dxa"/>
            <w:left w:w="108" w:type="dxa"/>
            <w:bottom w:w="0" w:type="dxa"/>
            <w:right w:w="108" w:type="dxa"/>
          </w:tblCellMar>
        </w:tblPrEx>
        <w:trPr>
          <w:trHeight w:val="90" w:hRule="atLeast"/>
        </w:trPr>
        <w:tc>
          <w:tcPr>
            <w:tcW w:w="1223" w:type="pct"/>
            <w:gridSpan w:val="2"/>
            <w:tcBorders>
              <w:top w:val="nil"/>
              <w:left w:val="nil"/>
              <w:bottom w:val="single" w:color="808080" w:sz="4" w:space="0"/>
              <w:right w:val="nil"/>
            </w:tcBorders>
            <w:shd w:val="clear" w:color="000000" w:fill="auto"/>
            <w:noWrap/>
            <w:vAlign w:val="center"/>
          </w:tcPr>
          <w:p>
            <w:pPr>
              <w:jc w:val="left"/>
            </w:pPr>
            <w:r>
              <w:rPr>
                <w:rFonts w:hint="eastAsia" w:ascii="宋体" w:hAnsi="宋体" w:eastAsia="宋体" w:cs="宋体"/>
                <w:i w:val="0"/>
                <w:color w:val="000000"/>
                <w:kern w:val="0"/>
                <w:sz w:val="20"/>
                <w:szCs w:val="20"/>
                <w:u w:val="none"/>
                <w:lang w:val="en-US" w:eastAsia="zh-CN" w:bidi="ar"/>
              </w:rPr>
              <w:t>部门：常德市武陵区人民检察院</w:t>
            </w:r>
          </w:p>
        </w:tc>
        <w:tc>
          <w:tcPr>
            <w:tcW w:w="521" w:type="pct"/>
            <w:tcBorders>
              <w:top w:val="nil"/>
              <w:left w:val="nil"/>
              <w:bottom w:val="single" w:color="808080" w:sz="4" w:space="0"/>
              <w:right w:val="nil"/>
            </w:tcBorders>
            <w:shd w:val="clear" w:color="000000" w:fill="auto"/>
            <w:noWrap/>
            <w:vAlign w:val="center"/>
          </w:tcPr>
          <w:p>
            <w:pPr>
              <w:jc w:val="left"/>
              <w:rPr>
                <w:rFonts w:cs="Arial"/>
                <w:sz w:val="18"/>
                <w:szCs w:val="18"/>
              </w:rPr>
            </w:pPr>
          </w:p>
        </w:tc>
        <w:tc>
          <w:tcPr>
            <w:tcW w:w="404" w:type="pct"/>
            <w:tcBorders>
              <w:top w:val="nil"/>
              <w:left w:val="nil"/>
              <w:bottom w:val="single" w:color="808080" w:sz="4" w:space="0"/>
              <w:right w:val="nil"/>
            </w:tcBorders>
            <w:shd w:val="clear" w:color="000000" w:fill="auto"/>
            <w:noWrap/>
            <w:vAlign w:val="center"/>
          </w:tcPr>
          <w:p>
            <w:pPr>
              <w:jc w:val="left"/>
              <w:rPr>
                <w:rFonts w:cs="Arial"/>
                <w:sz w:val="18"/>
                <w:szCs w:val="18"/>
              </w:rPr>
            </w:pPr>
          </w:p>
        </w:tc>
        <w:tc>
          <w:tcPr>
            <w:tcW w:w="508" w:type="pct"/>
            <w:tcBorders>
              <w:top w:val="nil"/>
              <w:left w:val="nil"/>
              <w:bottom w:val="single" w:color="808080" w:sz="4" w:space="0"/>
              <w:right w:val="nil"/>
            </w:tcBorders>
            <w:shd w:val="clear" w:color="000000" w:fill="auto"/>
            <w:noWrap/>
            <w:vAlign w:val="center"/>
          </w:tcPr>
          <w:p>
            <w:pPr>
              <w:jc w:val="center"/>
              <w:rPr>
                <w:rFonts w:cs="Arial"/>
                <w:color w:val="000000"/>
                <w:sz w:val="22"/>
                <w:szCs w:val="22"/>
              </w:rPr>
            </w:pPr>
          </w:p>
        </w:tc>
        <w:tc>
          <w:tcPr>
            <w:tcW w:w="485" w:type="pct"/>
            <w:tcBorders>
              <w:top w:val="nil"/>
              <w:left w:val="nil"/>
              <w:bottom w:val="single" w:color="808080" w:sz="4" w:space="0"/>
              <w:right w:val="nil"/>
            </w:tcBorders>
            <w:shd w:val="clear" w:color="000000" w:fill="auto"/>
            <w:noWrap/>
            <w:vAlign w:val="center"/>
          </w:tcPr>
          <w:p>
            <w:pPr>
              <w:jc w:val="left"/>
              <w:rPr>
                <w:rFonts w:hint="default" w:eastAsia="宋体" w:cs="Arial"/>
                <w:sz w:val="18"/>
                <w:szCs w:val="18"/>
                <w:lang w:val="en-US" w:eastAsia="zh-CN"/>
              </w:rPr>
            </w:pPr>
            <w:r>
              <w:rPr>
                <w:rFonts w:hint="eastAsia" w:asciiTheme="minorEastAsia" w:hAnsiTheme="minorEastAsia" w:eastAsiaTheme="minorEastAsia" w:cstheme="minorEastAsia"/>
                <w:sz w:val="22"/>
                <w:szCs w:val="22"/>
                <w:lang w:val="en-US" w:eastAsia="zh-CN"/>
              </w:rPr>
              <w:t>2021年度</w:t>
            </w:r>
          </w:p>
        </w:tc>
        <w:tc>
          <w:tcPr>
            <w:tcW w:w="476" w:type="pct"/>
            <w:tcBorders>
              <w:top w:val="nil"/>
              <w:left w:val="nil"/>
              <w:bottom w:val="single" w:color="808080" w:sz="4" w:space="0"/>
              <w:right w:val="nil"/>
            </w:tcBorders>
            <w:shd w:val="clear" w:color="000000" w:fill="auto"/>
            <w:noWrap/>
            <w:vAlign w:val="center"/>
          </w:tcPr>
          <w:p>
            <w:pPr>
              <w:jc w:val="left"/>
              <w:rPr>
                <w:rFonts w:cs="Arial"/>
                <w:sz w:val="18"/>
                <w:szCs w:val="18"/>
              </w:rPr>
            </w:pPr>
          </w:p>
        </w:tc>
        <w:tc>
          <w:tcPr>
            <w:tcW w:w="688" w:type="pct"/>
            <w:tcBorders>
              <w:top w:val="nil"/>
              <w:left w:val="nil"/>
              <w:bottom w:val="single" w:color="808080" w:sz="4" w:space="0"/>
              <w:right w:val="nil"/>
            </w:tcBorders>
            <w:shd w:val="clear" w:color="000000" w:fill="auto"/>
            <w:noWrap/>
            <w:vAlign w:val="center"/>
          </w:tcPr>
          <w:p>
            <w:pPr>
              <w:jc w:val="left"/>
              <w:rPr>
                <w:rFonts w:cs="Arial"/>
                <w:sz w:val="18"/>
                <w:szCs w:val="18"/>
              </w:rPr>
            </w:pPr>
          </w:p>
        </w:tc>
        <w:tc>
          <w:tcPr>
            <w:tcW w:w="691" w:type="pct"/>
            <w:tcBorders>
              <w:top w:val="nil"/>
              <w:left w:val="nil"/>
              <w:bottom w:val="single" w:color="808080" w:sz="4" w:space="0"/>
              <w:right w:val="single" w:color="808080" w:sz="4" w:space="0"/>
            </w:tcBorders>
            <w:shd w:val="clear" w:color="000000" w:fill="auto"/>
            <w:noWrap/>
            <w:vAlign w:val="center"/>
          </w:tcPr>
          <w:p>
            <w:pPr>
              <w:keepNext w:val="0"/>
              <w:keepLines w:val="0"/>
              <w:widowControl/>
              <w:suppressLineNumbers w:val="0"/>
              <w:jc w:val="right"/>
              <w:textAlignment w:val="center"/>
              <w:rPr>
                <w:rFonts w:cs="Arial"/>
                <w:color w:val="000000"/>
                <w:sz w:val="18"/>
                <w:szCs w:val="18"/>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108" w:type="dxa"/>
            <w:bottom w:w="0" w:type="dxa"/>
            <w:right w:w="108" w:type="dxa"/>
          </w:tblCellMar>
        </w:tblPrEx>
        <w:trPr>
          <w:trHeight w:val="90" w:hRule="atLeast"/>
        </w:trPr>
        <w:tc>
          <w:tcPr>
            <w:tcW w:w="1745" w:type="pct"/>
            <w:gridSpan w:val="3"/>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人员经费</w:t>
            </w:r>
          </w:p>
        </w:tc>
        <w:tc>
          <w:tcPr>
            <w:tcW w:w="3254" w:type="pct"/>
            <w:gridSpan w:val="6"/>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公用经费</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科目编码</w:t>
            </w:r>
          </w:p>
        </w:tc>
        <w:tc>
          <w:tcPr>
            <w:tcW w:w="778"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科目名称</w:t>
            </w:r>
          </w:p>
        </w:tc>
        <w:tc>
          <w:tcPr>
            <w:tcW w:w="521"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决算数</w:t>
            </w:r>
          </w:p>
        </w:tc>
        <w:tc>
          <w:tcPr>
            <w:tcW w:w="404"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科目编码</w:t>
            </w:r>
          </w:p>
        </w:tc>
        <w:tc>
          <w:tcPr>
            <w:tcW w:w="508"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科目名称</w:t>
            </w:r>
          </w:p>
        </w:tc>
        <w:tc>
          <w:tcPr>
            <w:tcW w:w="485"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决算数</w:t>
            </w:r>
          </w:p>
        </w:tc>
        <w:tc>
          <w:tcPr>
            <w:tcW w:w="476"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科目编码</w:t>
            </w:r>
          </w:p>
        </w:tc>
        <w:tc>
          <w:tcPr>
            <w:tcW w:w="688"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科目名称</w:t>
            </w:r>
          </w:p>
        </w:tc>
        <w:tc>
          <w:tcPr>
            <w:tcW w:w="691"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决算数</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w:t>
            </w:r>
          </w:p>
        </w:tc>
        <w:tc>
          <w:tcPr>
            <w:tcW w:w="778"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工资福利支出</w:t>
            </w:r>
          </w:p>
        </w:tc>
        <w:tc>
          <w:tcPr>
            <w:tcW w:w="521"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1,169.60</w:t>
            </w:r>
          </w:p>
        </w:tc>
        <w:tc>
          <w:tcPr>
            <w:tcW w:w="404"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w:t>
            </w:r>
          </w:p>
        </w:tc>
        <w:tc>
          <w:tcPr>
            <w:tcW w:w="508"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商品和服务支出</w:t>
            </w:r>
          </w:p>
        </w:tc>
        <w:tc>
          <w:tcPr>
            <w:tcW w:w="485"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469.71</w:t>
            </w:r>
          </w:p>
        </w:tc>
        <w:tc>
          <w:tcPr>
            <w:tcW w:w="476"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307</w:t>
            </w:r>
          </w:p>
        </w:tc>
        <w:tc>
          <w:tcPr>
            <w:tcW w:w="688"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债务利息及费用支出</w:t>
            </w:r>
          </w:p>
        </w:tc>
        <w:tc>
          <w:tcPr>
            <w:tcW w:w="691" w:type="pct"/>
            <w:tcBorders>
              <w:top w:val="nil"/>
              <w:left w:val="nil"/>
              <w:bottom w:val="single" w:color="000000" w:sz="4" w:space="0"/>
              <w:right w:val="single" w:color="000000" w:sz="4" w:space="0"/>
            </w:tcBorders>
            <w:shd w:val="clear" w:color="000000" w:fill="auto"/>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30101</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基本工资</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254.41</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30201</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办公费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46.85</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30701</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国内债务付息</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30102</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津贴补贴</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215.28</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30202</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印刷费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13.26</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30702</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国外债务付息</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30103</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奖金</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215.28</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30203</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咨询费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资本性支出</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30106</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伙食补助费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30204</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手续费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31001</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30107</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绩效工资</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30205</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水费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0.38</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31002</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办公设备购置</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30108</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79.86</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30206</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电费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36.65</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31003</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专用设备购置</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30109</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职业年金缴费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30207</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邮电费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20.84</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31005</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基础设施建设</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30110</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40.85</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30208</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取暖费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31006</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大型修缮</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30111</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30209</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物业管理费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51.98</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31007</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30112</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10.60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30211</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差旅费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11.02</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31008</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物资储备</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30113</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住房公积金</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164.00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30212</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31009</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土地补偿</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30114</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医疗费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30213</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维修（护）费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49.13</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31010</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安置补助</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30199</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189.32</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30214</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租赁费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31011</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对个人和家庭的补助</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13.68</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30215</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会议费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31012</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拆迁补偿</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30301</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离休费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11.68</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30216</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培训费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31013</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公务用车购置</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30302</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退休费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30217</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公务接待费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4.40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31019</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30303</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退职（役）费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30218</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专用材料费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31021</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30304</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抚恤金</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30224</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被装购置费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31022</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无形资产购置</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30305</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生活补助</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30225</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专用燃料费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31099</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30306</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救济费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30226</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劳务费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70.11</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399</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其他支出</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30307</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医疗费补助</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30227</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委托业务费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39906</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赠与</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30308</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助学金</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30228</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工会经费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24.18</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39907</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30309</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奖励金</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0.75</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30229</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福利费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20.18</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39908</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对民间非营利组织和群众性自治组织补贴</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30310</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30231</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23.62</w:t>
            </w:r>
          </w:p>
        </w:tc>
        <w:tc>
          <w:tcPr>
            <w:tcW w:w="476"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0"/>
                <w:szCs w:val="20"/>
                <w:u w:val="none"/>
                <w:lang w:val="en-US" w:eastAsia="zh-CN" w:bidi="ar"/>
              </w:rPr>
              <w:t>39999</w:t>
            </w:r>
          </w:p>
        </w:tc>
        <w:tc>
          <w:tcPr>
            <w:tcW w:w="68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其他支出</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30311</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代缴社会保险费</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30239</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其他交通费用</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49.83</w:t>
            </w:r>
          </w:p>
        </w:tc>
        <w:tc>
          <w:tcPr>
            <w:tcW w:w="476" w:type="pct"/>
            <w:tcBorders>
              <w:top w:val="nil"/>
              <w:left w:val="nil"/>
              <w:bottom w:val="single" w:color="000000" w:sz="4" w:space="0"/>
              <w:right w:val="single" w:color="000000" w:sz="4" w:space="0"/>
            </w:tcBorders>
            <w:shd w:val="clear" w:color="000000" w:fill="auto"/>
            <w:noWrap/>
            <w:vAlign w:val="center"/>
          </w:tcPr>
          <w:p>
            <w:pPr>
              <w:jc w:val="left"/>
            </w:pPr>
          </w:p>
        </w:tc>
        <w:tc>
          <w:tcPr>
            <w:tcW w:w="688" w:type="pct"/>
            <w:tcBorders>
              <w:top w:val="nil"/>
              <w:left w:val="nil"/>
              <w:bottom w:val="single" w:color="000000" w:sz="4" w:space="0"/>
              <w:right w:val="single" w:color="000000" w:sz="4" w:space="0"/>
            </w:tcBorders>
            <w:shd w:val="clear" w:color="000000" w:fill="auto"/>
            <w:noWrap/>
            <w:vAlign w:val="center"/>
          </w:tcPr>
          <w:p>
            <w:pPr>
              <w:jc w:val="left"/>
              <w:rPr>
                <w:rFonts w:cs="Arial"/>
                <w:sz w:val="20"/>
                <w:szCs w:val="20"/>
              </w:rPr>
            </w:pPr>
          </w:p>
        </w:tc>
        <w:tc>
          <w:tcPr>
            <w:tcW w:w="691" w:type="pct"/>
            <w:tcBorders>
              <w:top w:val="nil"/>
              <w:left w:val="nil"/>
              <w:bottom w:val="single" w:color="000000" w:sz="4" w:space="0"/>
              <w:right w:val="single" w:color="000000" w:sz="4" w:space="0"/>
            </w:tcBorders>
            <w:shd w:val="clear" w:color="000000" w:fill="auto"/>
            <w:noWrap/>
            <w:vAlign w:val="center"/>
          </w:tcPr>
          <w:p>
            <w:pPr>
              <w:jc w:val="right"/>
              <w:rPr>
                <w:rFonts w:cs="Arial"/>
                <w:sz w:val="20"/>
                <w:szCs w:val="20"/>
              </w:rPr>
            </w:pP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30399</w:t>
            </w:r>
          </w:p>
        </w:tc>
        <w:tc>
          <w:tcPr>
            <w:tcW w:w="77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其他对个人和家庭的补助</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1.25</w:t>
            </w: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30240</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0.00</w:t>
            </w:r>
          </w:p>
        </w:tc>
        <w:tc>
          <w:tcPr>
            <w:tcW w:w="476" w:type="pct"/>
            <w:tcBorders>
              <w:top w:val="nil"/>
              <w:left w:val="nil"/>
              <w:bottom w:val="single" w:color="000000" w:sz="4" w:space="0"/>
              <w:right w:val="single" w:color="000000" w:sz="4" w:space="0"/>
            </w:tcBorders>
            <w:shd w:val="clear" w:color="000000" w:fill="auto"/>
            <w:noWrap/>
            <w:vAlign w:val="center"/>
          </w:tcPr>
          <w:p>
            <w:pPr>
              <w:jc w:val="left"/>
            </w:pPr>
          </w:p>
        </w:tc>
        <w:tc>
          <w:tcPr>
            <w:tcW w:w="688" w:type="pct"/>
            <w:tcBorders>
              <w:top w:val="nil"/>
              <w:left w:val="nil"/>
              <w:bottom w:val="single" w:color="000000" w:sz="4" w:space="0"/>
              <w:right w:val="single" w:color="000000" w:sz="4" w:space="0"/>
            </w:tcBorders>
            <w:shd w:val="clear" w:color="000000" w:fill="auto"/>
            <w:noWrap/>
            <w:vAlign w:val="center"/>
          </w:tcPr>
          <w:p>
            <w:pPr>
              <w:jc w:val="left"/>
              <w:rPr>
                <w:rFonts w:cs="Arial"/>
                <w:sz w:val="20"/>
                <w:szCs w:val="20"/>
              </w:rPr>
            </w:pPr>
          </w:p>
        </w:tc>
        <w:tc>
          <w:tcPr>
            <w:tcW w:w="691" w:type="pct"/>
            <w:tcBorders>
              <w:top w:val="nil"/>
              <w:left w:val="nil"/>
              <w:bottom w:val="single" w:color="000000" w:sz="4" w:space="0"/>
              <w:right w:val="single" w:color="000000" w:sz="4" w:space="0"/>
            </w:tcBorders>
            <w:shd w:val="clear" w:color="000000" w:fill="auto"/>
            <w:noWrap/>
            <w:vAlign w:val="center"/>
          </w:tcPr>
          <w:p>
            <w:pPr>
              <w:jc w:val="right"/>
              <w:rPr>
                <w:rFonts w:cs="Arial"/>
                <w:sz w:val="20"/>
                <w:szCs w:val="20"/>
              </w:rPr>
            </w:pPr>
          </w:p>
        </w:tc>
      </w:tr>
      <w:tr>
        <w:tblPrEx>
          <w:tblCellMar>
            <w:top w:w="0" w:type="dxa"/>
            <w:left w:w="108" w:type="dxa"/>
            <w:bottom w:w="0" w:type="dxa"/>
            <w:right w:w="108" w:type="dxa"/>
          </w:tblCellMar>
        </w:tblPrEx>
        <w:trPr>
          <w:trHeight w:val="90" w:hRule="atLeast"/>
        </w:trPr>
        <w:tc>
          <w:tcPr>
            <w:tcW w:w="445" w:type="pct"/>
            <w:tcBorders>
              <w:top w:val="nil"/>
              <w:left w:val="single" w:color="000000" w:sz="4" w:space="0"/>
              <w:bottom w:val="single" w:color="000000" w:sz="4" w:space="0"/>
              <w:right w:val="single" w:color="000000" w:sz="4" w:space="0"/>
            </w:tcBorders>
            <w:shd w:val="clear" w:color="000000" w:fill="auto"/>
            <w:noWrap/>
            <w:vAlign w:val="center"/>
          </w:tcPr>
          <w:p>
            <w:pPr>
              <w:jc w:val="left"/>
              <w:rPr>
                <w:rFonts w:cs="Arial"/>
                <w:sz w:val="20"/>
                <w:szCs w:val="20"/>
              </w:rPr>
            </w:pPr>
          </w:p>
        </w:tc>
        <w:tc>
          <w:tcPr>
            <w:tcW w:w="778" w:type="pct"/>
            <w:tcBorders>
              <w:top w:val="nil"/>
              <w:left w:val="nil"/>
              <w:bottom w:val="single" w:color="000000" w:sz="4" w:space="0"/>
              <w:right w:val="single" w:color="000000" w:sz="4" w:space="0"/>
            </w:tcBorders>
            <w:shd w:val="clear" w:color="000000" w:fill="auto"/>
            <w:noWrap/>
            <w:vAlign w:val="center"/>
          </w:tcPr>
          <w:p>
            <w:pPr>
              <w:jc w:val="left"/>
              <w:rPr>
                <w:rFonts w:cs="Arial"/>
                <w:sz w:val="20"/>
                <w:szCs w:val="20"/>
              </w:rPr>
            </w:pPr>
          </w:p>
        </w:tc>
        <w:tc>
          <w:tcPr>
            <w:tcW w:w="521" w:type="pct"/>
            <w:tcBorders>
              <w:top w:val="nil"/>
              <w:left w:val="nil"/>
              <w:bottom w:val="single" w:color="000000" w:sz="4" w:space="0"/>
              <w:right w:val="single" w:color="000000" w:sz="4" w:space="0"/>
            </w:tcBorders>
            <w:shd w:val="clear" w:color="000000" w:fill="auto"/>
            <w:noWrap/>
            <w:vAlign w:val="center"/>
          </w:tcPr>
          <w:p>
            <w:pPr>
              <w:jc w:val="right"/>
              <w:rPr>
                <w:rFonts w:cs="Arial"/>
                <w:sz w:val="20"/>
                <w:szCs w:val="20"/>
              </w:rPr>
            </w:pPr>
          </w:p>
        </w:tc>
        <w:tc>
          <w:tcPr>
            <w:tcW w:w="404"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30299</w:t>
            </w:r>
          </w:p>
        </w:tc>
        <w:tc>
          <w:tcPr>
            <w:tcW w:w="508"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485"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47.28</w:t>
            </w:r>
          </w:p>
        </w:tc>
        <w:tc>
          <w:tcPr>
            <w:tcW w:w="476" w:type="pct"/>
            <w:tcBorders>
              <w:top w:val="nil"/>
              <w:left w:val="nil"/>
              <w:bottom w:val="single" w:color="000000" w:sz="4" w:space="0"/>
              <w:right w:val="single" w:color="000000" w:sz="4" w:space="0"/>
            </w:tcBorders>
            <w:shd w:val="clear" w:color="000000" w:fill="auto"/>
            <w:noWrap/>
            <w:vAlign w:val="center"/>
          </w:tcPr>
          <w:p>
            <w:pPr>
              <w:jc w:val="left"/>
            </w:pPr>
          </w:p>
        </w:tc>
        <w:tc>
          <w:tcPr>
            <w:tcW w:w="688" w:type="pct"/>
            <w:tcBorders>
              <w:top w:val="nil"/>
              <w:left w:val="nil"/>
              <w:bottom w:val="single" w:color="000000" w:sz="4" w:space="0"/>
              <w:right w:val="single" w:color="000000" w:sz="4" w:space="0"/>
            </w:tcBorders>
            <w:shd w:val="clear" w:color="000000" w:fill="auto"/>
            <w:noWrap/>
            <w:vAlign w:val="center"/>
          </w:tcPr>
          <w:p>
            <w:pPr>
              <w:jc w:val="left"/>
              <w:rPr>
                <w:rFonts w:cs="Arial"/>
                <w:sz w:val="20"/>
                <w:szCs w:val="20"/>
              </w:rPr>
            </w:pPr>
          </w:p>
        </w:tc>
        <w:tc>
          <w:tcPr>
            <w:tcW w:w="691" w:type="pct"/>
            <w:tcBorders>
              <w:top w:val="nil"/>
              <w:left w:val="nil"/>
              <w:bottom w:val="single" w:color="000000" w:sz="4" w:space="0"/>
              <w:right w:val="single" w:color="000000" w:sz="4" w:space="0"/>
            </w:tcBorders>
            <w:shd w:val="clear" w:color="000000" w:fill="auto"/>
            <w:noWrap/>
            <w:vAlign w:val="center"/>
          </w:tcPr>
          <w:p>
            <w:pPr>
              <w:jc w:val="right"/>
              <w:rPr>
                <w:rFonts w:cs="Arial"/>
                <w:sz w:val="20"/>
                <w:szCs w:val="20"/>
              </w:rPr>
            </w:pPr>
          </w:p>
        </w:tc>
      </w:tr>
      <w:tr>
        <w:tblPrEx>
          <w:tblCellMar>
            <w:top w:w="0" w:type="dxa"/>
            <w:left w:w="108" w:type="dxa"/>
            <w:bottom w:w="0" w:type="dxa"/>
            <w:right w:w="108" w:type="dxa"/>
          </w:tblCellMar>
        </w:tblPrEx>
        <w:trPr>
          <w:trHeight w:val="90" w:hRule="atLeast"/>
        </w:trPr>
        <w:tc>
          <w:tcPr>
            <w:tcW w:w="1223" w:type="pct"/>
            <w:gridSpan w:val="2"/>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人员经费合计</w:t>
            </w:r>
          </w:p>
        </w:tc>
        <w:tc>
          <w:tcPr>
            <w:tcW w:w="52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1,183.28</w:t>
            </w:r>
          </w:p>
        </w:tc>
        <w:tc>
          <w:tcPr>
            <w:tcW w:w="2563" w:type="pct"/>
            <w:gridSpan w:val="5"/>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center"/>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公用经费合计</w:t>
            </w:r>
          </w:p>
        </w:tc>
        <w:tc>
          <w:tcPr>
            <w:tcW w:w="691" w:type="pct"/>
            <w:tcBorders>
              <w:top w:val="nil"/>
              <w:left w:val="nil"/>
              <w:bottom w:val="single" w:color="000000" w:sz="4" w:space="0"/>
              <w:right w:val="single" w:color="000000" w:sz="4" w:space="0"/>
            </w:tcBorders>
            <w:shd w:val="clear" w:color="000000" w:fill="auto"/>
            <w:noWrap/>
            <w:vAlign w:val="center"/>
          </w:tcPr>
          <w:p>
            <w:pPr>
              <w:keepNext w:val="0"/>
              <w:keepLines w:val="0"/>
              <w:widowControl/>
              <w:suppressLineNumbers w:val="0"/>
              <w:jc w:val="righ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469.71</w:t>
            </w:r>
          </w:p>
        </w:tc>
      </w:tr>
      <w:tr>
        <w:tblPrEx>
          <w:tblCellMar>
            <w:top w:w="0" w:type="dxa"/>
            <w:left w:w="108" w:type="dxa"/>
            <w:bottom w:w="0" w:type="dxa"/>
            <w:right w:w="108" w:type="dxa"/>
          </w:tblCellMar>
        </w:tblPrEx>
        <w:trPr>
          <w:trHeight w:val="439" w:hRule="atLeast"/>
        </w:trPr>
        <w:tc>
          <w:tcPr>
            <w:tcW w:w="5000" w:type="pct"/>
            <w:gridSpan w:val="9"/>
            <w:tcBorders>
              <w:top w:val="nil"/>
              <w:left w:val="single" w:color="000000" w:sz="4" w:space="0"/>
              <w:bottom w:val="single" w:color="000000" w:sz="4" w:space="0"/>
              <w:right w:val="single" w:color="000000" w:sz="4" w:space="0"/>
            </w:tcBorders>
            <w:shd w:val="clear" w:color="000000" w:fill="auto"/>
            <w:noWrap/>
            <w:vAlign w:val="center"/>
          </w:tcPr>
          <w:p>
            <w:pPr>
              <w:keepNext w:val="0"/>
              <w:keepLines w:val="0"/>
              <w:widowControl/>
              <w:suppressLineNumbers w:val="0"/>
              <w:jc w:val="left"/>
              <w:textAlignment w:val="center"/>
              <w:rPr>
                <w:rFonts w:cs="Arial"/>
                <w:sz w:val="20"/>
                <w:szCs w:val="20"/>
              </w:rPr>
            </w:pPr>
            <w:r>
              <w:rPr>
                <w:rFonts w:hint="eastAsia" w:ascii="宋体" w:hAnsi="宋体" w:eastAsia="宋体" w:cs="宋体"/>
                <w:i w:val="0"/>
                <w:color w:val="000000"/>
                <w:kern w:val="0"/>
                <w:sz w:val="20"/>
                <w:szCs w:val="20"/>
                <w:u w:val="none"/>
                <w:lang w:val="en-US" w:eastAsia="zh-CN" w:bidi="ar"/>
              </w:rPr>
              <w:t>注：本表反映部门本年度一般公共预算财政拨款基本支出明细情况。</w:t>
            </w:r>
          </w:p>
        </w:tc>
      </w:tr>
      <w:tr>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shd w:val="clear" w:color="000000" w:fill="auto"/>
            <w:noWrap/>
            <w:vAlign w:val="center"/>
          </w:tcPr>
          <w:p>
            <w:pPr>
              <w:jc w:val="left"/>
              <w:rPr>
                <w:rFonts w:cs="Arial"/>
                <w:sz w:val="20"/>
                <w:szCs w:val="20"/>
              </w:rPr>
            </w:pPr>
          </w:p>
        </w:tc>
      </w:tr>
      <w:tr>
        <w:tblPrEx>
          <w:tblCellMar>
            <w:top w:w="0" w:type="dxa"/>
            <w:left w:w="108" w:type="dxa"/>
            <w:bottom w:w="0" w:type="dxa"/>
            <w:right w:w="108" w:type="dxa"/>
          </w:tblCellMar>
        </w:tblPrEx>
        <w:trPr>
          <w:trHeight w:val="90" w:hRule="atLeast"/>
        </w:trPr>
        <w:tc>
          <w:tcPr>
            <w:tcW w:w="5000" w:type="pct"/>
            <w:gridSpan w:val="9"/>
            <w:tcBorders>
              <w:top w:val="nil"/>
              <w:left w:val="nil"/>
              <w:bottom w:val="nil"/>
              <w:right w:val="nil"/>
            </w:tcBorders>
            <w:shd w:val="clear" w:color="000000" w:fill="auto"/>
            <w:noWrap/>
            <w:vAlign w:val="center"/>
          </w:tcPr>
          <w:p>
            <w:pPr>
              <w:jc w:val="left"/>
              <w:rPr>
                <w:rFonts w:cs="Arial"/>
                <w:sz w:val="20"/>
                <w:szCs w:val="20"/>
              </w:rPr>
            </w:pPr>
          </w:p>
        </w:tc>
      </w:tr>
    </w:tbl>
    <w:p>
      <w:pPr>
        <w:pStyle w:val="13"/>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3"/>
        <w:spacing w:before="0" w:beforeAutospacing="0"/>
        <w:ind w:firstLine="480" w:firstLineChars="150"/>
        <w:outlineLvl w:val="1"/>
        <w:rPr>
          <w:rFonts w:ascii="楷体_GB2312" w:hAnsi="楷体" w:eastAsia="楷体_GB2312" w:cs="楷体"/>
          <w:sz w:val="32"/>
          <w:szCs w:val="32"/>
          <w:shd w:val="clear" w:color="auto" w:fill="FFFFFF"/>
        </w:rPr>
      </w:pPr>
      <w:bookmarkStart w:id="12" w:name="_Toc15088"/>
      <w:r>
        <w:rPr>
          <w:rFonts w:hint="eastAsia" w:ascii="楷体_GB2312" w:hAnsi="楷体" w:eastAsia="楷体_GB2312" w:cs="楷体"/>
          <w:sz w:val="32"/>
          <w:szCs w:val="32"/>
          <w:shd w:val="clear" w:color="auto" w:fill="FFFFFF"/>
        </w:rPr>
        <w:t>七、一般公共预算财政拨款“三公”经费支出决算表</w:t>
      </w:r>
      <w:bookmarkEnd w:id="12"/>
    </w:p>
    <w:tbl>
      <w:tblPr>
        <w:tblStyle w:val="14"/>
        <w:tblW w:w="0" w:type="auto"/>
        <w:tblInd w:w="93" w:type="dxa"/>
        <w:shd w:val="clear" w:color="auto" w:fill="auto"/>
        <w:tblLayout w:type="autofit"/>
        <w:tblCellMar>
          <w:top w:w="0" w:type="dxa"/>
          <w:left w:w="108" w:type="dxa"/>
          <w:bottom w:w="0" w:type="dxa"/>
          <w:right w:w="108" w:type="dxa"/>
        </w:tblCellMar>
      </w:tblPr>
      <w:tblGrid>
        <w:gridCol w:w="900"/>
        <w:gridCol w:w="1865"/>
        <w:gridCol w:w="901"/>
        <w:gridCol w:w="1122"/>
        <w:gridCol w:w="1183"/>
        <w:gridCol w:w="1282"/>
        <w:gridCol w:w="723"/>
        <w:gridCol w:w="1370"/>
        <w:gridCol w:w="723"/>
        <w:gridCol w:w="1122"/>
        <w:gridCol w:w="1183"/>
        <w:gridCol w:w="1429"/>
      </w:tblGrid>
      <w:tr>
        <w:tblPrEx>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center"/>
          </w:tcPr>
          <w:p>
            <w:pPr>
              <w:rPr>
                <w:rFonts w:cs="Arial"/>
                <w:sz w:val="22"/>
                <w:szCs w:val="22"/>
              </w:rPr>
            </w:pP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nil"/>
              <w:right w:val="single" w:color="808080" w:sz="4" w:space="0"/>
            </w:tcBorders>
            <w:shd w:val="clear" w:color="auto" w:fill="auto"/>
            <w:noWrap/>
            <w:vAlign w:val="center"/>
          </w:tcPr>
          <w:p>
            <w:pPr>
              <w:jc w:val="right"/>
              <w:rPr>
                <w:rFonts w:cs="Arial"/>
                <w:sz w:val="22"/>
                <w:szCs w:val="22"/>
              </w:rPr>
            </w:pPr>
            <w:r>
              <w:rPr>
                <w:rFonts w:hint="eastAsia" w:cs="Arial"/>
                <w:sz w:val="22"/>
                <w:szCs w:val="22"/>
              </w:rPr>
              <w:t>公开07表</w:t>
            </w:r>
          </w:p>
        </w:tc>
      </w:tr>
      <w:tr>
        <w:tblPrEx>
          <w:shd w:val="clear" w:color="auto" w:fill="auto"/>
          <w:tblCellMar>
            <w:top w:w="0" w:type="dxa"/>
            <w:left w:w="108" w:type="dxa"/>
            <w:bottom w:w="0" w:type="dxa"/>
            <w:right w:w="108" w:type="dxa"/>
          </w:tblCellMar>
        </w:tblPrEx>
        <w:trPr>
          <w:trHeight w:val="300" w:hRule="atLeast"/>
        </w:trPr>
        <w:tc>
          <w:tcPr>
            <w:tcW w:w="0" w:type="auto"/>
            <w:gridSpan w:val="3"/>
            <w:tcBorders>
              <w:top w:val="nil"/>
              <w:left w:val="nil"/>
              <w:bottom w:val="single" w:color="808080" w:sz="4" w:space="0"/>
              <w:right w:val="nil"/>
            </w:tcBorders>
            <w:shd w:val="clear" w:color="auto" w:fill="auto"/>
            <w:noWrap/>
            <w:vAlign w:val="center"/>
          </w:tcPr>
          <w:p>
            <w:pPr>
              <w:rPr>
                <w:rFonts w:cs="Arial"/>
                <w:sz w:val="22"/>
                <w:szCs w:val="22"/>
              </w:rPr>
            </w:pPr>
            <w:r>
              <w:rPr>
                <w:rFonts w:hint="eastAsia" w:cs="Arial"/>
                <w:sz w:val="22"/>
                <w:szCs w:val="22"/>
              </w:rPr>
              <w:t>部门：常德市武陵区人民检察院</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jc w:val="center"/>
              <w:rPr>
                <w:rFonts w:cs="Arial"/>
                <w:sz w:val="22"/>
                <w:szCs w:val="22"/>
              </w:rPr>
            </w:pPr>
            <w:r>
              <w:rPr>
                <w:rFonts w:hint="eastAsia" w:cs="Arial"/>
                <w:sz w:val="22"/>
                <w:szCs w:val="22"/>
              </w:rPr>
              <w:t>2</w:t>
            </w:r>
            <w:r>
              <w:rPr>
                <w:rFonts w:hint="eastAsia" w:cs="Arial"/>
                <w:sz w:val="22"/>
                <w:szCs w:val="22"/>
                <w:lang w:val="en-US" w:eastAsia="zh-CN"/>
              </w:rPr>
              <w:t>021</w:t>
            </w:r>
            <w:r>
              <w:rPr>
                <w:rFonts w:hint="eastAsia" w:cs="Arial"/>
                <w:sz w:val="22"/>
                <w:szCs w:val="22"/>
              </w:rPr>
              <w:t>年度</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0" w:type="auto"/>
            <w:tcBorders>
              <w:top w:val="nil"/>
              <w:left w:val="nil"/>
              <w:bottom w:val="single" w:color="808080" w:sz="4" w:space="0"/>
              <w:right w:val="single" w:color="808080" w:sz="4" w:space="0"/>
            </w:tcBorders>
            <w:shd w:val="clear" w:color="auto" w:fill="auto"/>
            <w:noWrap/>
            <w:vAlign w:val="center"/>
          </w:tcPr>
          <w:p>
            <w:pPr>
              <w:jc w:val="right"/>
              <w:rPr>
                <w:rFonts w:cs="Arial"/>
                <w:sz w:val="22"/>
                <w:szCs w:val="22"/>
              </w:rPr>
            </w:pPr>
            <w:r>
              <w:rPr>
                <w:rFonts w:hint="eastAsia" w:cs="Arial"/>
                <w:sz w:val="22"/>
                <w:szCs w:val="22"/>
              </w:rPr>
              <w:t>单位：万元</w:t>
            </w:r>
          </w:p>
        </w:tc>
      </w:tr>
      <w:tr>
        <w:tblPrEx>
          <w:shd w:val="clear" w:color="auto" w:fill="auto"/>
          <w:tblCellMar>
            <w:top w:w="0" w:type="dxa"/>
            <w:left w:w="108" w:type="dxa"/>
            <w:bottom w:w="0" w:type="dxa"/>
            <w:right w:w="108" w:type="dxa"/>
          </w:tblCellMar>
        </w:tblPrEx>
        <w:trPr>
          <w:trHeight w:val="300" w:hRule="atLeast"/>
        </w:trPr>
        <w:tc>
          <w:tcPr>
            <w:tcW w:w="0" w:type="auto"/>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预算数</w:t>
            </w:r>
          </w:p>
        </w:tc>
        <w:tc>
          <w:tcPr>
            <w:tcW w:w="0" w:type="auto"/>
            <w:gridSpan w:val="6"/>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决算数</w:t>
            </w:r>
          </w:p>
        </w:tc>
      </w:tr>
      <w:tr>
        <w:tblPrEx>
          <w:shd w:val="clear" w:color="auto" w:fill="auto"/>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公务接待费</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合计</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因公出国（境）费</w:t>
            </w:r>
          </w:p>
        </w:tc>
        <w:tc>
          <w:tcPr>
            <w:tcW w:w="0" w:type="auto"/>
            <w:gridSpan w:val="3"/>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公务接待费</w:t>
            </w:r>
          </w:p>
        </w:tc>
      </w:tr>
      <w:tr>
        <w:tblPrEx>
          <w:shd w:val="clear" w:color="auto" w:fill="auto"/>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公务用车购置费</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公务用车运行费</w:t>
            </w: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公务用车购置费</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公务用车运行费</w:t>
            </w:r>
          </w:p>
        </w:tc>
        <w:tc>
          <w:tcPr>
            <w:tcW w:w="0" w:type="auto"/>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2</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3</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4</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5</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6</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7</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8</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9</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10</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11</w:t>
            </w:r>
          </w:p>
        </w:tc>
        <w:tc>
          <w:tcPr>
            <w:tcW w:w="0" w:type="auto"/>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12</w:t>
            </w:r>
          </w:p>
        </w:tc>
      </w:tr>
      <w:tr>
        <w:tblPrEx>
          <w:shd w:val="clear" w:color="auto" w:fill="auto"/>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36.00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w:t>
            </w:r>
            <w:r>
              <w:rPr>
                <w:rFonts w:hint="eastAsia" w:cs="Arial"/>
                <w:sz w:val="20"/>
                <w:szCs w:val="20"/>
                <w:lang w:val="en-US" w:eastAsia="zh-CN"/>
              </w:rPr>
              <w:t>6</w:t>
            </w:r>
            <w:r>
              <w:rPr>
                <w:rFonts w:hint="eastAsia" w:cs="Arial"/>
                <w:sz w:val="20"/>
                <w:szCs w:val="20"/>
              </w:rPr>
              <w:t>.00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2</w:t>
            </w:r>
            <w:r>
              <w:rPr>
                <w:rFonts w:hint="eastAsia" w:cs="Arial"/>
                <w:sz w:val="20"/>
                <w:szCs w:val="20"/>
                <w:lang w:val="en-US" w:eastAsia="zh-CN"/>
              </w:rPr>
              <w:t>6</w:t>
            </w:r>
            <w:r>
              <w:rPr>
                <w:rFonts w:hint="eastAsia" w:cs="Arial"/>
                <w:sz w:val="20"/>
                <w:szCs w:val="20"/>
              </w:rPr>
              <w:t>.00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1</w:t>
            </w:r>
            <w:r>
              <w:rPr>
                <w:rFonts w:hint="eastAsia" w:cs="Arial"/>
                <w:sz w:val="20"/>
                <w:szCs w:val="20"/>
                <w:lang w:val="en-US" w:eastAsia="zh-CN"/>
              </w:rPr>
              <w:t>0</w:t>
            </w:r>
            <w:r>
              <w:rPr>
                <w:rFonts w:hint="eastAsia" w:cs="Arial"/>
                <w:sz w:val="20"/>
                <w:szCs w:val="20"/>
              </w:rPr>
              <w:t>.00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lang w:val="en-US" w:eastAsia="zh-CN"/>
              </w:rPr>
              <w:t>28.02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rPr>
              <w:t>2</w:t>
            </w:r>
            <w:r>
              <w:rPr>
                <w:rFonts w:hint="eastAsia" w:cs="Arial"/>
                <w:sz w:val="20"/>
                <w:szCs w:val="20"/>
                <w:lang w:val="en-US" w:eastAsia="zh-CN"/>
              </w:rPr>
              <w:t>3.62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lang w:val="en-US" w:eastAsia="zh-CN"/>
              </w:rPr>
              <w:t>0.00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lang w:val="en-US" w:eastAsia="zh-CN"/>
              </w:rPr>
              <w:t>23.62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default" w:eastAsia="宋体" w:cs="Arial"/>
                <w:sz w:val="20"/>
                <w:szCs w:val="20"/>
                <w:lang w:val="en-US" w:eastAsia="zh-CN"/>
              </w:rPr>
            </w:pPr>
            <w:r>
              <w:rPr>
                <w:rFonts w:hint="eastAsia" w:cs="Arial"/>
                <w:sz w:val="20"/>
                <w:szCs w:val="20"/>
                <w:lang w:val="en-US" w:eastAsia="zh-CN"/>
              </w:rPr>
              <w:t>4.40</w:t>
            </w:r>
          </w:p>
        </w:tc>
      </w:tr>
      <w:tr>
        <w:tblPrEx>
          <w:shd w:val="clear" w:color="auto" w:fill="auto"/>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auto"/>
            <w:vAlign w:val="center"/>
          </w:tcPr>
          <w:p>
            <w:pPr>
              <w:rPr>
                <w:rFonts w:cs="Arial"/>
                <w:sz w:val="20"/>
                <w:szCs w:val="20"/>
              </w:rPr>
            </w:pPr>
            <w:r>
              <w:rPr>
                <w:rFonts w:hint="eastAsia" w:cs="Arial"/>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pStyle w:val="13"/>
        <w:spacing w:before="0" w:beforeAutospacing="0"/>
        <w:ind w:firstLine="480" w:firstLineChars="150"/>
        <w:outlineLvl w:val="1"/>
        <w:rPr>
          <w:rFonts w:ascii="楷体_GB2312" w:hAnsi="楷体" w:eastAsia="楷体_GB2312" w:cs="楷体"/>
          <w:sz w:val="32"/>
          <w:szCs w:val="32"/>
          <w:shd w:val="clear" w:color="auto" w:fill="FFFFFF"/>
        </w:rPr>
      </w:pPr>
    </w:p>
    <w:p>
      <w:pPr>
        <w:pStyle w:val="13"/>
        <w:numPr>
          <w:ilvl w:val="0"/>
          <w:numId w:val="1"/>
        </w:numPr>
        <w:spacing w:before="0" w:beforeAutospacing="0"/>
        <w:outlineLvl w:val="1"/>
        <w:rPr>
          <w:shd w:val="clear" w:color="auto" w:fill="FFFFFF"/>
        </w:rPr>
        <w:sectPr>
          <w:pgSz w:w="16851" w:h="11915" w:orient="landscape"/>
          <w:pgMar w:top="1800" w:right="1731" w:bottom="1800" w:left="1440" w:header="851" w:footer="992" w:gutter="0"/>
          <w:cols w:space="720" w:num="1"/>
          <w:docGrid w:type="lines" w:linePitch="312" w:charSpace="0"/>
        </w:sectPr>
      </w:pPr>
    </w:p>
    <w:p>
      <w:pPr>
        <w:pStyle w:val="13"/>
        <w:spacing w:before="0" w:beforeAutospacing="0"/>
        <w:ind w:firstLine="480" w:firstLineChars="150"/>
        <w:outlineLvl w:val="1"/>
        <w:rPr>
          <w:rStyle w:val="16"/>
          <w:rFonts w:ascii="楷体_GB2312" w:eastAsia="楷体_GB2312"/>
          <w:b w:val="0"/>
          <w:sz w:val="32"/>
          <w:szCs w:val="32"/>
        </w:rPr>
      </w:pPr>
      <w:bookmarkStart w:id="13" w:name="_Toc16750"/>
      <w:r>
        <w:rPr>
          <w:rStyle w:val="16"/>
          <w:rFonts w:hint="eastAsia" w:ascii="楷体_GB2312" w:eastAsia="楷体_GB2312"/>
          <w:b w:val="0"/>
          <w:sz w:val="32"/>
          <w:szCs w:val="32"/>
        </w:rPr>
        <w:t>八、政府性基金预算财政拨款收入支出决算表</w:t>
      </w:r>
      <w:bookmarkEnd w:id="13"/>
    </w:p>
    <w:tbl>
      <w:tblPr>
        <w:tblStyle w:val="14"/>
        <w:tblW w:w="4872" w:type="pct"/>
        <w:tblInd w:w="108" w:type="dxa"/>
        <w:shd w:val="clear" w:color="auto" w:fill="auto"/>
        <w:tblLayout w:type="fixed"/>
        <w:tblCellMar>
          <w:top w:w="0" w:type="dxa"/>
          <w:left w:w="108" w:type="dxa"/>
          <w:bottom w:w="0" w:type="dxa"/>
          <w:right w:w="108" w:type="dxa"/>
        </w:tblCellMar>
      </w:tblPr>
      <w:tblGrid>
        <w:gridCol w:w="368"/>
        <w:gridCol w:w="476"/>
        <w:gridCol w:w="482"/>
        <w:gridCol w:w="2013"/>
        <w:gridCol w:w="1075"/>
        <w:gridCol w:w="630"/>
        <w:gridCol w:w="480"/>
        <w:gridCol w:w="302"/>
        <w:gridCol w:w="178"/>
        <w:gridCol w:w="435"/>
        <w:gridCol w:w="570"/>
        <w:gridCol w:w="1305"/>
      </w:tblGrid>
      <w:tr>
        <w:tblPrEx>
          <w:tblCellMar>
            <w:top w:w="0" w:type="dxa"/>
            <w:left w:w="108" w:type="dxa"/>
            <w:bottom w:w="0" w:type="dxa"/>
            <w:right w:w="108" w:type="dxa"/>
          </w:tblCellMar>
        </w:tblPrEx>
        <w:trPr>
          <w:trHeight w:val="300" w:hRule="atLeast"/>
        </w:trPr>
        <w:tc>
          <w:tcPr>
            <w:tcW w:w="221"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286"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289"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1210"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646"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378"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288" w:type="pct"/>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288" w:type="pct"/>
            <w:gridSpan w:val="2"/>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604" w:type="pct"/>
            <w:gridSpan w:val="2"/>
            <w:tcBorders>
              <w:top w:val="nil"/>
              <w:left w:val="nil"/>
              <w:bottom w:val="nil"/>
              <w:right w:val="nil"/>
            </w:tcBorders>
            <w:shd w:val="clear" w:color="auto" w:fill="auto"/>
            <w:noWrap/>
            <w:vAlign w:val="center"/>
          </w:tcPr>
          <w:p>
            <w:pPr>
              <w:rPr>
                <w:rFonts w:cs="Arial"/>
                <w:sz w:val="18"/>
                <w:szCs w:val="18"/>
              </w:rPr>
            </w:pPr>
            <w:r>
              <w:rPr>
                <w:rFonts w:hint="eastAsia" w:cs="Arial"/>
                <w:sz w:val="18"/>
                <w:szCs w:val="18"/>
              </w:rPr>
              <w:t>　</w:t>
            </w:r>
          </w:p>
        </w:tc>
        <w:tc>
          <w:tcPr>
            <w:tcW w:w="784" w:type="pct"/>
            <w:tcBorders>
              <w:top w:val="nil"/>
              <w:left w:val="nil"/>
              <w:bottom w:val="nil"/>
              <w:right w:val="single" w:color="808080" w:sz="4" w:space="0"/>
            </w:tcBorders>
            <w:shd w:val="clear" w:color="auto" w:fill="auto"/>
            <w:noWrap/>
            <w:vAlign w:val="center"/>
          </w:tcPr>
          <w:p>
            <w:pPr>
              <w:jc w:val="right"/>
              <w:rPr>
                <w:rFonts w:cs="Arial"/>
                <w:color w:val="000000"/>
                <w:sz w:val="22"/>
                <w:szCs w:val="22"/>
              </w:rPr>
            </w:pPr>
            <w:r>
              <w:rPr>
                <w:rFonts w:hint="eastAsia" w:cs="Arial"/>
                <w:color w:val="000000"/>
                <w:sz w:val="22"/>
                <w:szCs w:val="22"/>
              </w:rPr>
              <w:t>公开08表</w:t>
            </w:r>
          </w:p>
        </w:tc>
      </w:tr>
      <w:tr>
        <w:tblPrEx>
          <w:tblCellMar>
            <w:top w:w="0" w:type="dxa"/>
            <w:left w:w="108" w:type="dxa"/>
            <w:bottom w:w="0" w:type="dxa"/>
            <w:right w:w="108" w:type="dxa"/>
          </w:tblCellMar>
        </w:tblPrEx>
        <w:trPr>
          <w:trHeight w:val="300" w:hRule="atLeast"/>
        </w:trPr>
        <w:tc>
          <w:tcPr>
            <w:tcW w:w="2008" w:type="pct"/>
            <w:gridSpan w:val="4"/>
            <w:tcBorders>
              <w:top w:val="nil"/>
              <w:left w:val="nil"/>
              <w:bottom w:val="single" w:color="808080" w:sz="4" w:space="0"/>
              <w:right w:val="nil"/>
            </w:tcBorders>
            <w:shd w:val="clear" w:color="auto" w:fill="auto"/>
            <w:noWrap/>
            <w:vAlign w:val="center"/>
          </w:tcPr>
          <w:p>
            <w:pPr>
              <w:rPr>
                <w:rFonts w:cs="Arial"/>
                <w:color w:val="000000"/>
                <w:sz w:val="22"/>
                <w:szCs w:val="22"/>
              </w:rPr>
            </w:pPr>
            <w:r>
              <w:rPr>
                <w:rFonts w:hint="eastAsia" w:cs="Arial"/>
                <w:color w:val="000000"/>
                <w:sz w:val="22"/>
                <w:szCs w:val="22"/>
              </w:rPr>
              <w:t>部门：常德市武陵区人民检察院</w:t>
            </w:r>
          </w:p>
        </w:tc>
        <w:tc>
          <w:tcPr>
            <w:tcW w:w="646" w:type="pct"/>
            <w:tcBorders>
              <w:top w:val="nil"/>
              <w:left w:val="nil"/>
              <w:bottom w:val="single" w:color="808080" w:sz="4" w:space="0"/>
              <w:right w:val="nil"/>
            </w:tcBorders>
            <w:shd w:val="clear" w:color="auto" w:fill="auto"/>
            <w:noWrap/>
            <w:vAlign w:val="center"/>
          </w:tcPr>
          <w:p>
            <w:pPr>
              <w:jc w:val="center"/>
              <w:rPr>
                <w:rFonts w:cs="Arial"/>
                <w:color w:val="000000"/>
                <w:sz w:val="22"/>
                <w:szCs w:val="22"/>
              </w:rPr>
            </w:pPr>
            <w:r>
              <w:rPr>
                <w:rFonts w:hint="eastAsia" w:cs="Arial"/>
                <w:color w:val="000000"/>
                <w:sz w:val="22"/>
                <w:szCs w:val="22"/>
              </w:rPr>
              <w:t>202</w:t>
            </w:r>
            <w:r>
              <w:rPr>
                <w:rFonts w:hint="eastAsia" w:cs="Arial"/>
                <w:color w:val="000000"/>
                <w:sz w:val="22"/>
                <w:szCs w:val="22"/>
                <w:lang w:val="en-US" w:eastAsia="zh-CN"/>
              </w:rPr>
              <w:t>1</w:t>
            </w:r>
            <w:r>
              <w:rPr>
                <w:rFonts w:hint="eastAsia" w:cs="Arial"/>
                <w:color w:val="000000"/>
                <w:sz w:val="22"/>
                <w:szCs w:val="22"/>
              </w:rPr>
              <w:t>年度</w:t>
            </w:r>
          </w:p>
        </w:tc>
        <w:tc>
          <w:tcPr>
            <w:tcW w:w="378" w:type="pct"/>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288" w:type="pct"/>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288" w:type="pct"/>
            <w:gridSpan w:val="2"/>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604" w:type="pct"/>
            <w:gridSpan w:val="2"/>
            <w:tcBorders>
              <w:top w:val="nil"/>
              <w:left w:val="nil"/>
              <w:bottom w:val="single" w:color="808080" w:sz="4" w:space="0"/>
              <w:right w:val="nil"/>
            </w:tcBorders>
            <w:shd w:val="clear" w:color="auto" w:fill="auto"/>
            <w:noWrap/>
            <w:vAlign w:val="center"/>
          </w:tcPr>
          <w:p>
            <w:pPr>
              <w:rPr>
                <w:rFonts w:cs="Arial"/>
                <w:sz w:val="18"/>
                <w:szCs w:val="18"/>
              </w:rPr>
            </w:pPr>
            <w:r>
              <w:rPr>
                <w:rFonts w:hint="eastAsia" w:cs="Arial"/>
                <w:sz w:val="18"/>
                <w:szCs w:val="18"/>
              </w:rPr>
              <w:t>　</w:t>
            </w:r>
          </w:p>
        </w:tc>
        <w:tc>
          <w:tcPr>
            <w:tcW w:w="784" w:type="pct"/>
            <w:tcBorders>
              <w:top w:val="nil"/>
              <w:left w:val="nil"/>
              <w:bottom w:val="single" w:color="808080" w:sz="4" w:space="0"/>
              <w:right w:val="single" w:color="808080" w:sz="4" w:space="0"/>
            </w:tcBorders>
            <w:shd w:val="clear" w:color="auto" w:fill="auto"/>
            <w:noWrap/>
            <w:vAlign w:val="center"/>
          </w:tcPr>
          <w:p>
            <w:pPr>
              <w:jc w:val="both"/>
              <w:rPr>
                <w:rFonts w:hint="eastAsia" w:eastAsia="宋体" w:cs="Arial"/>
                <w:color w:val="000000"/>
                <w:sz w:val="22"/>
                <w:szCs w:val="22"/>
                <w:lang w:eastAsia="zh-CN"/>
              </w:rPr>
            </w:pPr>
            <w:r>
              <w:rPr>
                <w:rFonts w:hint="eastAsia" w:cs="Arial"/>
                <w:color w:val="000000"/>
                <w:sz w:val="22"/>
                <w:szCs w:val="22"/>
                <w:lang w:eastAsia="zh-CN"/>
              </w:rPr>
              <w:t>单位：万元</w:t>
            </w:r>
          </w:p>
        </w:tc>
      </w:tr>
      <w:tr>
        <w:tblPrEx>
          <w:tblCellMar>
            <w:top w:w="0" w:type="dxa"/>
            <w:left w:w="108" w:type="dxa"/>
            <w:bottom w:w="0" w:type="dxa"/>
            <w:right w:w="108" w:type="dxa"/>
          </w:tblCellMar>
        </w:tblPrEx>
        <w:trPr>
          <w:trHeight w:val="300" w:hRule="atLeast"/>
        </w:trPr>
        <w:tc>
          <w:tcPr>
            <w:tcW w:w="2008" w:type="pct"/>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项目</w:t>
            </w:r>
          </w:p>
        </w:tc>
        <w:tc>
          <w:tcPr>
            <w:tcW w:w="646" w:type="pct"/>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年初结转和结余</w:t>
            </w:r>
          </w:p>
        </w:tc>
        <w:tc>
          <w:tcPr>
            <w:tcW w:w="378" w:type="pct"/>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本年收入</w:t>
            </w:r>
          </w:p>
        </w:tc>
        <w:tc>
          <w:tcPr>
            <w:tcW w:w="1181" w:type="pct"/>
            <w:gridSpan w:val="5"/>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本年支出</w:t>
            </w:r>
          </w:p>
        </w:tc>
        <w:tc>
          <w:tcPr>
            <w:tcW w:w="784" w:type="pct"/>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年末结转和结余</w:t>
            </w:r>
          </w:p>
        </w:tc>
      </w:tr>
      <w:tr>
        <w:tblPrEx>
          <w:tblCellMar>
            <w:top w:w="0" w:type="dxa"/>
            <w:left w:w="108" w:type="dxa"/>
            <w:bottom w:w="0" w:type="dxa"/>
            <w:right w:w="108" w:type="dxa"/>
          </w:tblCellMar>
        </w:tblPrEx>
        <w:trPr>
          <w:trHeight w:val="300" w:hRule="atLeast"/>
        </w:trPr>
        <w:tc>
          <w:tcPr>
            <w:tcW w:w="797" w:type="pct"/>
            <w:gridSpan w:val="3"/>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功能分类科目编码</w:t>
            </w:r>
          </w:p>
        </w:tc>
        <w:tc>
          <w:tcPr>
            <w:tcW w:w="1210" w:type="pct"/>
            <w:vMerge w:val="restar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科目名称</w:t>
            </w:r>
          </w:p>
        </w:tc>
        <w:tc>
          <w:tcPr>
            <w:tcW w:w="646"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78"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470" w:type="pct"/>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小计</w:t>
            </w:r>
          </w:p>
        </w:tc>
        <w:tc>
          <w:tcPr>
            <w:tcW w:w="368" w:type="pct"/>
            <w:gridSpan w:val="2"/>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基本支出</w:t>
            </w:r>
          </w:p>
        </w:tc>
        <w:tc>
          <w:tcPr>
            <w:tcW w:w="342" w:type="pct"/>
            <w:vMerge w:val="restart"/>
            <w:tcBorders>
              <w:top w:val="nil"/>
              <w:left w:val="nil"/>
              <w:bottom w:val="single" w:color="000000" w:sz="4" w:space="0"/>
              <w:right w:val="single" w:color="000000" w:sz="4" w:space="0"/>
            </w:tcBorders>
            <w:shd w:val="clear" w:color="auto" w:fill="auto"/>
            <w:vAlign w:val="center"/>
          </w:tcPr>
          <w:p>
            <w:pPr>
              <w:jc w:val="center"/>
              <w:rPr>
                <w:rFonts w:cs="Arial"/>
                <w:sz w:val="20"/>
                <w:szCs w:val="20"/>
              </w:rPr>
            </w:pPr>
            <w:r>
              <w:rPr>
                <w:rFonts w:hint="eastAsia" w:cs="Arial"/>
                <w:sz w:val="20"/>
                <w:szCs w:val="20"/>
              </w:rPr>
              <w:t>项目支出</w:t>
            </w:r>
          </w:p>
        </w:tc>
        <w:tc>
          <w:tcPr>
            <w:tcW w:w="784"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79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1210"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646"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78"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470" w:type="pct"/>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68" w:type="pct"/>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42"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784"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259" w:hRule="atLeast"/>
        </w:trPr>
        <w:tc>
          <w:tcPr>
            <w:tcW w:w="797"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1210"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646"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78"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470" w:type="pct"/>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68" w:type="pct"/>
            <w:gridSpan w:val="2"/>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342"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784"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108" w:type="dxa"/>
            <w:bottom w:w="0" w:type="dxa"/>
            <w:right w:w="108" w:type="dxa"/>
          </w:tblCellMar>
        </w:tblPrEx>
        <w:trPr>
          <w:trHeight w:val="300" w:hRule="atLeast"/>
        </w:trPr>
        <w:tc>
          <w:tcPr>
            <w:tcW w:w="2008" w:type="pct"/>
            <w:gridSpan w:val="4"/>
            <w:tcBorders>
              <w:top w:val="nil"/>
              <w:left w:val="single" w:color="000000" w:sz="4" w:space="0"/>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栏次</w:t>
            </w:r>
          </w:p>
        </w:tc>
        <w:tc>
          <w:tcPr>
            <w:tcW w:w="646"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1</w:t>
            </w:r>
          </w:p>
        </w:tc>
        <w:tc>
          <w:tcPr>
            <w:tcW w:w="378"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2</w:t>
            </w:r>
          </w:p>
        </w:tc>
        <w:tc>
          <w:tcPr>
            <w:tcW w:w="470"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3</w:t>
            </w:r>
          </w:p>
        </w:tc>
        <w:tc>
          <w:tcPr>
            <w:tcW w:w="368" w:type="pct"/>
            <w:gridSpan w:val="2"/>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4</w:t>
            </w:r>
          </w:p>
        </w:tc>
        <w:tc>
          <w:tcPr>
            <w:tcW w:w="342"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5</w:t>
            </w:r>
          </w:p>
        </w:tc>
        <w:tc>
          <w:tcPr>
            <w:tcW w:w="784" w:type="pct"/>
            <w:tcBorders>
              <w:top w:val="nil"/>
              <w:left w:val="nil"/>
              <w:bottom w:val="single" w:color="000000" w:sz="4" w:space="0"/>
              <w:right w:val="single" w:color="000000" w:sz="4" w:space="0"/>
            </w:tcBorders>
            <w:shd w:val="clear" w:color="auto" w:fill="auto"/>
            <w:noWrap/>
            <w:vAlign w:val="center"/>
          </w:tcPr>
          <w:p>
            <w:pPr>
              <w:jc w:val="center"/>
              <w:rPr>
                <w:rFonts w:cs="Arial"/>
                <w:sz w:val="20"/>
                <w:szCs w:val="20"/>
              </w:rPr>
            </w:pPr>
            <w:r>
              <w:rPr>
                <w:rFonts w:hint="eastAsia" w:cs="Arial"/>
                <w:sz w:val="20"/>
                <w:szCs w:val="20"/>
              </w:rPr>
              <w:t>6</w:t>
            </w:r>
          </w:p>
        </w:tc>
      </w:tr>
      <w:tr>
        <w:tblPrEx>
          <w:tblCellMar>
            <w:top w:w="0" w:type="dxa"/>
            <w:left w:w="108" w:type="dxa"/>
            <w:bottom w:w="0" w:type="dxa"/>
            <w:right w:w="108" w:type="dxa"/>
          </w:tblCellMar>
        </w:tblPrEx>
        <w:trPr>
          <w:trHeight w:val="300" w:hRule="atLeast"/>
        </w:trPr>
        <w:tc>
          <w:tcPr>
            <w:tcW w:w="2008" w:type="pct"/>
            <w:gridSpan w:val="4"/>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合计</w:t>
            </w:r>
          </w:p>
        </w:tc>
        <w:tc>
          <w:tcPr>
            <w:tcW w:w="646" w:type="pct"/>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c>
          <w:tcPr>
            <w:tcW w:w="470" w:type="pct"/>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c>
          <w:tcPr>
            <w:tcW w:w="368" w:type="pct"/>
            <w:gridSpan w:val="2"/>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c>
          <w:tcPr>
            <w:tcW w:w="784" w:type="pct"/>
            <w:tcBorders>
              <w:top w:val="nil"/>
              <w:left w:val="nil"/>
              <w:bottom w:val="single" w:color="000000" w:sz="4" w:space="0"/>
              <w:right w:val="single" w:color="000000" w:sz="4" w:space="0"/>
            </w:tcBorders>
            <w:shd w:val="clear" w:color="auto" w:fill="auto"/>
            <w:noWrap/>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r>
      <w:tr>
        <w:tblPrEx>
          <w:tblCellMar>
            <w:top w:w="0" w:type="dxa"/>
            <w:left w:w="108" w:type="dxa"/>
            <w:bottom w:w="0" w:type="dxa"/>
            <w:right w:w="108" w:type="dxa"/>
          </w:tblCellMar>
        </w:tblPrEx>
        <w:trPr>
          <w:trHeight w:val="300" w:hRule="atLeast"/>
        </w:trPr>
        <w:tc>
          <w:tcPr>
            <w:tcW w:w="797" w:type="pct"/>
            <w:gridSpan w:val="3"/>
            <w:tcBorders>
              <w:top w:val="nil"/>
              <w:left w:val="single" w:color="000000" w:sz="4" w:space="0"/>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1210" w:type="pct"/>
            <w:tcBorders>
              <w:top w:val="nil"/>
              <w:left w:val="nil"/>
              <w:bottom w:val="single" w:color="000000" w:sz="4" w:space="0"/>
              <w:right w:val="single" w:color="000000" w:sz="4" w:space="0"/>
            </w:tcBorders>
            <w:shd w:val="clear" w:color="auto" w:fill="auto"/>
            <w:noWrap/>
            <w:vAlign w:val="center"/>
          </w:tcPr>
          <w:p>
            <w:pPr>
              <w:rPr>
                <w:rFonts w:cs="Arial"/>
                <w:sz w:val="20"/>
                <w:szCs w:val="20"/>
              </w:rPr>
            </w:pPr>
            <w:r>
              <w:rPr>
                <w:rFonts w:hint="eastAsia" w:cs="Arial"/>
                <w:sz w:val="20"/>
                <w:szCs w:val="20"/>
              </w:rPr>
              <w:t>　</w:t>
            </w:r>
          </w:p>
        </w:tc>
        <w:tc>
          <w:tcPr>
            <w:tcW w:w="646"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　</w:t>
            </w:r>
          </w:p>
        </w:tc>
        <w:tc>
          <w:tcPr>
            <w:tcW w:w="378"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　</w:t>
            </w:r>
          </w:p>
        </w:tc>
        <w:tc>
          <w:tcPr>
            <w:tcW w:w="470" w:type="pct"/>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　</w:t>
            </w:r>
          </w:p>
        </w:tc>
        <w:tc>
          <w:tcPr>
            <w:tcW w:w="368" w:type="pct"/>
            <w:gridSpan w:val="2"/>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　</w:t>
            </w:r>
          </w:p>
        </w:tc>
        <w:tc>
          <w:tcPr>
            <w:tcW w:w="342"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　</w:t>
            </w:r>
          </w:p>
        </w:tc>
        <w:tc>
          <w:tcPr>
            <w:tcW w:w="784" w:type="pct"/>
            <w:tcBorders>
              <w:top w:val="nil"/>
              <w:left w:val="nil"/>
              <w:bottom w:val="single" w:color="000000" w:sz="4" w:space="0"/>
              <w:right w:val="single" w:color="000000" w:sz="4" w:space="0"/>
            </w:tcBorders>
            <w:shd w:val="clear" w:color="auto" w:fill="auto"/>
            <w:noWrap/>
            <w:vAlign w:val="center"/>
          </w:tcPr>
          <w:p>
            <w:pPr>
              <w:jc w:val="right"/>
              <w:rPr>
                <w:rFonts w:cs="Arial"/>
                <w:sz w:val="20"/>
                <w:szCs w:val="20"/>
              </w:rPr>
            </w:pPr>
            <w:r>
              <w:rPr>
                <w:rFonts w:hint="eastAsia" w:cs="Arial"/>
                <w:sz w:val="20"/>
                <w:szCs w:val="20"/>
              </w:rPr>
              <w:t>0.00　</w:t>
            </w:r>
          </w:p>
        </w:tc>
      </w:tr>
      <w:tr>
        <w:tblPrEx>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auto"/>
            <w:noWrap/>
            <w:vAlign w:val="center"/>
          </w:tcPr>
          <w:p>
            <w:pPr>
              <w:rPr>
                <w:rFonts w:cs="Arial"/>
                <w:sz w:val="20"/>
                <w:szCs w:val="20"/>
              </w:rPr>
            </w:pPr>
            <w:r>
              <w:rPr>
                <w:rFonts w:hint="eastAsia" w:cs="Arial"/>
                <w:sz w:val="20"/>
                <w:szCs w:val="20"/>
              </w:rPr>
              <w:t>注：本表反映部门本年度政府性基金预算财政拨款收入、支出及结转和结余情况。202</w:t>
            </w:r>
            <w:r>
              <w:rPr>
                <w:rFonts w:hint="eastAsia" w:cs="Arial"/>
                <w:sz w:val="20"/>
                <w:szCs w:val="20"/>
                <w:lang w:val="en-US" w:eastAsia="zh-CN"/>
              </w:rPr>
              <w:t>1</w:t>
            </w:r>
            <w:r>
              <w:rPr>
                <w:rFonts w:hint="eastAsia" w:cs="Arial"/>
                <w:sz w:val="20"/>
                <w:szCs w:val="20"/>
              </w:rPr>
              <w:t>年度本单位无政府性基金</w:t>
            </w:r>
            <w:r>
              <w:rPr>
                <w:rFonts w:hint="eastAsia" w:cs="Arial"/>
                <w:sz w:val="20"/>
                <w:szCs w:val="20"/>
                <w:lang w:eastAsia="zh-CN"/>
              </w:rPr>
              <w:t>收入</w:t>
            </w:r>
            <w:r>
              <w:rPr>
                <w:rFonts w:hint="eastAsia" w:cs="Arial"/>
                <w:sz w:val="20"/>
                <w:szCs w:val="20"/>
              </w:rPr>
              <w:t>，</w:t>
            </w:r>
            <w:r>
              <w:rPr>
                <w:rFonts w:hint="eastAsia" w:cs="Arial"/>
                <w:sz w:val="20"/>
                <w:szCs w:val="20"/>
                <w:lang w:eastAsia="zh-CN"/>
              </w:rPr>
              <w:t>也没有使用政府性基金安排的支出，故</w:t>
            </w:r>
            <w:r>
              <w:rPr>
                <w:rFonts w:hint="eastAsia" w:cs="Arial"/>
                <w:sz w:val="20"/>
                <w:szCs w:val="20"/>
              </w:rPr>
              <w:t>本表无数据。</w:t>
            </w:r>
          </w:p>
        </w:tc>
      </w:tr>
    </w:tbl>
    <w:p>
      <w:pPr>
        <w:pStyle w:val="13"/>
        <w:spacing w:before="0" w:beforeAutospacing="0"/>
        <w:jc w:val="center"/>
        <w:rPr>
          <w:rStyle w:val="16"/>
          <w:rFonts w:ascii="楷体" w:hAnsi="楷体" w:eastAsia="楷体" w:cs="楷体"/>
          <w:sz w:val="32"/>
          <w:szCs w:val="32"/>
          <w:shd w:val="clear" w:color="auto" w:fill="FFFFFF"/>
        </w:rPr>
      </w:pPr>
    </w:p>
    <w:p>
      <w:pPr>
        <w:pStyle w:val="13"/>
        <w:spacing w:before="0" w:beforeAutospacing="0"/>
        <w:ind w:firstLine="480" w:firstLineChars="150"/>
        <w:outlineLvl w:val="1"/>
        <w:rPr>
          <w:rStyle w:val="16"/>
          <w:rFonts w:ascii="楷体_GB2312" w:eastAsia="楷体_GB2312"/>
          <w:b w:val="0"/>
          <w:sz w:val="32"/>
          <w:szCs w:val="32"/>
        </w:rPr>
      </w:pPr>
      <w:r>
        <w:rPr>
          <w:rStyle w:val="16"/>
          <w:rFonts w:hint="eastAsia" w:ascii="楷体_GB2312" w:eastAsia="楷体_GB2312"/>
          <w:b w:val="0"/>
          <w:sz w:val="32"/>
          <w:szCs w:val="32"/>
        </w:rPr>
        <w:t>九、国有资本经营预算财政拨款支出决算表</w:t>
      </w:r>
    </w:p>
    <w:tbl>
      <w:tblPr>
        <w:tblStyle w:val="14"/>
        <w:tblW w:w="5000" w:type="pct"/>
        <w:tblInd w:w="0" w:type="dxa"/>
        <w:shd w:val="clear" w:color="auto" w:fill="auto"/>
        <w:tblLayout w:type="fixed"/>
        <w:tblCellMar>
          <w:top w:w="0" w:type="dxa"/>
          <w:left w:w="0" w:type="dxa"/>
          <w:bottom w:w="0" w:type="dxa"/>
          <w:right w:w="0" w:type="dxa"/>
        </w:tblCellMar>
      </w:tblPr>
      <w:tblGrid>
        <w:gridCol w:w="1252"/>
        <w:gridCol w:w="1252"/>
        <w:gridCol w:w="674"/>
        <w:gridCol w:w="1426"/>
        <w:gridCol w:w="843"/>
        <w:gridCol w:w="1003"/>
        <w:gridCol w:w="1895"/>
      </w:tblGrid>
      <w:tr>
        <w:tblPrEx>
          <w:tblCellMar>
            <w:top w:w="0" w:type="dxa"/>
            <w:left w:w="0" w:type="dxa"/>
            <w:bottom w:w="0" w:type="dxa"/>
            <w:right w:w="0" w:type="dxa"/>
          </w:tblCellMar>
        </w:tblPrEx>
        <w:trPr>
          <w:trHeight w:val="300" w:hRule="atLeast"/>
        </w:trPr>
        <w:tc>
          <w:tcPr>
            <w:tcW w:w="750"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22"/>
                <w:szCs w:val="22"/>
              </w:rPr>
            </w:pPr>
          </w:p>
        </w:tc>
        <w:tc>
          <w:tcPr>
            <w:tcW w:w="750"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403"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854"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505"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00"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1135" w:type="pct"/>
            <w:tcBorders>
              <w:top w:val="nil"/>
              <w:left w:val="nil"/>
              <w:bottom w:val="nil"/>
              <w:right w:val="single" w:color="808080" w:sz="4" w:space="0"/>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r>
      <w:tr>
        <w:tblPrEx>
          <w:tblCellMar>
            <w:top w:w="0" w:type="dxa"/>
            <w:left w:w="0" w:type="dxa"/>
            <w:bottom w:w="0" w:type="dxa"/>
            <w:right w:w="0" w:type="dxa"/>
          </w:tblCellMar>
        </w:tblPrEx>
        <w:trPr>
          <w:trHeight w:val="300" w:hRule="atLeast"/>
        </w:trPr>
        <w:tc>
          <w:tcPr>
            <w:tcW w:w="750"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750"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403"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854"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505"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00" w:type="pct"/>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1135" w:type="pct"/>
            <w:tcBorders>
              <w:top w:val="nil"/>
              <w:left w:val="nil"/>
              <w:bottom w:val="nil"/>
              <w:right w:val="single" w:color="808080" w:sz="4" w:space="0"/>
            </w:tcBorders>
            <w:shd w:val="clear" w:color="auto" w:fill="auto"/>
            <w:noWrap/>
            <w:tcMar>
              <w:top w:w="15" w:type="dxa"/>
              <w:left w:w="15" w:type="dxa"/>
              <w:bottom w:w="0" w:type="dxa"/>
              <w:right w:w="15" w:type="dxa"/>
            </w:tcMar>
            <w:vAlign w:val="center"/>
          </w:tcPr>
          <w:p>
            <w:pPr>
              <w:jc w:val="right"/>
              <w:rPr>
                <w:rFonts w:cs="Arial"/>
                <w:color w:val="000000"/>
                <w:sz w:val="22"/>
                <w:szCs w:val="22"/>
              </w:rPr>
            </w:pPr>
            <w:r>
              <w:rPr>
                <w:rFonts w:hint="eastAsia" w:cs="Arial"/>
                <w:color w:val="000000"/>
                <w:sz w:val="22"/>
                <w:szCs w:val="22"/>
              </w:rPr>
              <w:t>公开09表</w:t>
            </w:r>
          </w:p>
        </w:tc>
      </w:tr>
      <w:tr>
        <w:tblPrEx>
          <w:tblCellMar>
            <w:top w:w="0" w:type="dxa"/>
            <w:left w:w="0" w:type="dxa"/>
            <w:bottom w:w="0" w:type="dxa"/>
            <w:right w:w="0" w:type="dxa"/>
          </w:tblCellMar>
        </w:tblPrEx>
        <w:trPr>
          <w:trHeight w:val="300" w:hRule="atLeast"/>
        </w:trPr>
        <w:tc>
          <w:tcPr>
            <w:tcW w:w="1904" w:type="pct"/>
            <w:gridSpan w:val="3"/>
            <w:tcBorders>
              <w:top w:val="nil"/>
              <w:left w:val="nil"/>
              <w:bottom w:val="single" w:color="808080" w:sz="4" w:space="0"/>
              <w:right w:val="nil"/>
            </w:tcBorders>
            <w:shd w:val="clear" w:color="auto" w:fill="auto"/>
            <w:noWrap/>
            <w:tcMar>
              <w:top w:w="15" w:type="dxa"/>
              <w:left w:w="15" w:type="dxa"/>
              <w:bottom w:w="0" w:type="dxa"/>
              <w:right w:w="15" w:type="dxa"/>
            </w:tcMar>
            <w:vAlign w:val="center"/>
          </w:tcPr>
          <w:p>
            <w:pPr>
              <w:rPr>
                <w:rFonts w:cs="Arial"/>
                <w:color w:val="000000"/>
                <w:sz w:val="22"/>
                <w:szCs w:val="22"/>
              </w:rPr>
            </w:pPr>
            <w:r>
              <w:rPr>
                <w:rFonts w:hint="eastAsia" w:cs="Arial"/>
                <w:color w:val="000000"/>
                <w:sz w:val="22"/>
                <w:szCs w:val="22"/>
              </w:rPr>
              <w:t>部门：常德市武陵区人民检察院</w:t>
            </w:r>
          </w:p>
        </w:tc>
        <w:tc>
          <w:tcPr>
            <w:tcW w:w="854" w:type="pct"/>
            <w:tcBorders>
              <w:top w:val="nil"/>
              <w:left w:val="nil"/>
              <w:bottom w:val="single" w:color="808080" w:sz="4" w:space="0"/>
              <w:right w:val="nil"/>
            </w:tcBorders>
            <w:shd w:val="clear" w:color="auto" w:fill="auto"/>
            <w:noWrap/>
            <w:tcMar>
              <w:top w:w="15" w:type="dxa"/>
              <w:left w:w="15" w:type="dxa"/>
              <w:bottom w:w="0" w:type="dxa"/>
              <w:right w:w="15" w:type="dxa"/>
            </w:tcMar>
            <w:vAlign w:val="center"/>
          </w:tcPr>
          <w:p>
            <w:pPr>
              <w:jc w:val="center"/>
              <w:rPr>
                <w:rFonts w:cs="Arial"/>
                <w:color w:val="000000"/>
                <w:sz w:val="22"/>
                <w:szCs w:val="22"/>
              </w:rPr>
            </w:pPr>
            <w:r>
              <w:rPr>
                <w:rFonts w:hint="eastAsia" w:cs="Arial"/>
                <w:color w:val="000000"/>
                <w:sz w:val="22"/>
                <w:szCs w:val="22"/>
              </w:rPr>
              <w:t>202</w:t>
            </w:r>
            <w:r>
              <w:rPr>
                <w:rFonts w:hint="eastAsia" w:cs="Arial"/>
                <w:color w:val="000000"/>
                <w:sz w:val="22"/>
                <w:szCs w:val="22"/>
                <w:lang w:val="en-US" w:eastAsia="zh-CN"/>
              </w:rPr>
              <w:t>1</w:t>
            </w:r>
            <w:r>
              <w:rPr>
                <w:rFonts w:hint="eastAsia" w:cs="Arial"/>
                <w:color w:val="000000"/>
                <w:sz w:val="22"/>
                <w:szCs w:val="22"/>
              </w:rPr>
              <w:t>年度</w:t>
            </w:r>
          </w:p>
        </w:tc>
        <w:tc>
          <w:tcPr>
            <w:tcW w:w="505" w:type="pct"/>
            <w:tcBorders>
              <w:top w:val="nil"/>
              <w:left w:val="nil"/>
              <w:bottom w:val="single" w:color="808080" w:sz="4" w:space="0"/>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600" w:type="pct"/>
            <w:tcBorders>
              <w:top w:val="nil"/>
              <w:left w:val="nil"/>
              <w:bottom w:val="single" w:color="808080" w:sz="4" w:space="0"/>
              <w:right w:val="nil"/>
            </w:tcBorders>
            <w:shd w:val="clear" w:color="auto" w:fill="auto"/>
            <w:noWrap/>
            <w:tcMar>
              <w:top w:w="15" w:type="dxa"/>
              <w:left w:w="15" w:type="dxa"/>
              <w:bottom w:w="0" w:type="dxa"/>
              <w:right w:w="15" w:type="dxa"/>
            </w:tcMar>
            <w:vAlign w:val="center"/>
          </w:tcPr>
          <w:p>
            <w:pPr>
              <w:rPr>
                <w:rFonts w:cs="Arial"/>
                <w:sz w:val="18"/>
                <w:szCs w:val="18"/>
              </w:rPr>
            </w:pPr>
            <w:r>
              <w:rPr>
                <w:rFonts w:hint="eastAsia" w:cs="Arial"/>
                <w:sz w:val="18"/>
                <w:szCs w:val="18"/>
              </w:rPr>
              <w:t>　</w:t>
            </w:r>
          </w:p>
        </w:tc>
        <w:tc>
          <w:tcPr>
            <w:tcW w:w="1135" w:type="pct"/>
            <w:tcBorders>
              <w:top w:val="nil"/>
              <w:left w:val="nil"/>
              <w:bottom w:val="single" w:color="808080" w:sz="4" w:space="0"/>
              <w:right w:val="single" w:color="808080" w:sz="4" w:space="0"/>
            </w:tcBorders>
            <w:shd w:val="clear" w:color="auto" w:fill="auto"/>
            <w:noWrap/>
            <w:tcMar>
              <w:top w:w="15" w:type="dxa"/>
              <w:left w:w="15" w:type="dxa"/>
              <w:bottom w:w="0" w:type="dxa"/>
              <w:right w:w="15" w:type="dxa"/>
            </w:tcMar>
            <w:vAlign w:val="center"/>
          </w:tcPr>
          <w:p>
            <w:pPr>
              <w:jc w:val="right"/>
              <w:rPr>
                <w:rFonts w:cs="Arial"/>
                <w:color w:val="000000"/>
                <w:sz w:val="22"/>
                <w:szCs w:val="22"/>
              </w:rPr>
            </w:pPr>
            <w:r>
              <w:rPr>
                <w:rFonts w:hint="eastAsia" w:cs="Arial"/>
                <w:color w:val="000000"/>
                <w:sz w:val="22"/>
                <w:szCs w:val="22"/>
              </w:rPr>
              <w:t>单位：万元</w:t>
            </w:r>
          </w:p>
        </w:tc>
      </w:tr>
      <w:tr>
        <w:tblPrEx>
          <w:tblCellMar>
            <w:top w:w="0" w:type="dxa"/>
            <w:left w:w="0" w:type="dxa"/>
            <w:bottom w:w="0" w:type="dxa"/>
            <w:right w:w="0" w:type="dxa"/>
          </w:tblCellMar>
        </w:tblPrEx>
        <w:trPr>
          <w:trHeight w:val="300" w:hRule="atLeast"/>
        </w:trPr>
        <w:tc>
          <w:tcPr>
            <w:tcW w:w="2758"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cs="Arial"/>
                <w:sz w:val="20"/>
                <w:szCs w:val="20"/>
              </w:rPr>
            </w:pPr>
            <w:r>
              <w:rPr>
                <w:rFonts w:hint="eastAsia" w:cs="Arial"/>
                <w:sz w:val="20"/>
                <w:szCs w:val="20"/>
              </w:rPr>
              <w:t>项目</w:t>
            </w:r>
          </w:p>
        </w:tc>
        <w:tc>
          <w:tcPr>
            <w:tcW w:w="2241" w:type="pct"/>
            <w:gridSpan w:val="3"/>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sz w:val="20"/>
                <w:szCs w:val="20"/>
              </w:rPr>
            </w:pPr>
            <w:r>
              <w:rPr>
                <w:rFonts w:hint="eastAsia" w:cs="Arial"/>
                <w:sz w:val="20"/>
                <w:szCs w:val="20"/>
              </w:rPr>
              <w:t>本年支出</w:t>
            </w:r>
          </w:p>
        </w:tc>
      </w:tr>
      <w:tr>
        <w:tblPrEx>
          <w:tblCellMar>
            <w:top w:w="0" w:type="dxa"/>
            <w:left w:w="0" w:type="dxa"/>
            <w:bottom w:w="0" w:type="dxa"/>
            <w:right w:w="0" w:type="dxa"/>
          </w:tblCellMar>
        </w:tblPrEx>
        <w:trPr>
          <w:trHeight w:val="300" w:hRule="atLeast"/>
        </w:trPr>
        <w:tc>
          <w:tcPr>
            <w:tcW w:w="1904" w:type="pct"/>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sz w:val="20"/>
                <w:szCs w:val="20"/>
              </w:rPr>
            </w:pPr>
            <w:r>
              <w:rPr>
                <w:rFonts w:hint="eastAsia" w:cs="Arial"/>
                <w:sz w:val="20"/>
                <w:szCs w:val="20"/>
              </w:rPr>
              <w:t>功能分类科目编码</w:t>
            </w:r>
          </w:p>
        </w:tc>
        <w:tc>
          <w:tcPr>
            <w:tcW w:w="854" w:type="pct"/>
            <w:vMerge w:val="restar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sz w:val="20"/>
                <w:szCs w:val="20"/>
              </w:rPr>
            </w:pPr>
            <w:r>
              <w:rPr>
                <w:rFonts w:hint="eastAsia" w:cs="Arial"/>
                <w:sz w:val="20"/>
                <w:szCs w:val="20"/>
              </w:rPr>
              <w:t>科目名称</w:t>
            </w:r>
          </w:p>
        </w:tc>
        <w:tc>
          <w:tcPr>
            <w:tcW w:w="505" w:type="pct"/>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sz w:val="20"/>
                <w:szCs w:val="20"/>
              </w:rPr>
            </w:pPr>
            <w:r>
              <w:rPr>
                <w:rFonts w:hint="eastAsia" w:cs="Arial"/>
                <w:sz w:val="20"/>
                <w:szCs w:val="20"/>
              </w:rPr>
              <w:t>合计</w:t>
            </w:r>
          </w:p>
        </w:tc>
        <w:tc>
          <w:tcPr>
            <w:tcW w:w="600" w:type="pct"/>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sz w:val="20"/>
                <w:szCs w:val="20"/>
              </w:rPr>
            </w:pPr>
            <w:r>
              <w:rPr>
                <w:rFonts w:hint="eastAsia" w:cs="Arial"/>
                <w:sz w:val="20"/>
                <w:szCs w:val="20"/>
              </w:rPr>
              <w:t>基本支出</w:t>
            </w:r>
          </w:p>
        </w:tc>
        <w:tc>
          <w:tcPr>
            <w:tcW w:w="1135" w:type="pct"/>
            <w:vMerge w:val="restart"/>
            <w:tcBorders>
              <w:top w:val="nil"/>
              <w:left w:val="nil"/>
              <w:bottom w:val="single" w:color="000000" w:sz="4" w:space="0"/>
              <w:right w:val="single" w:color="000000" w:sz="4" w:space="0"/>
            </w:tcBorders>
            <w:shd w:val="clear" w:color="auto" w:fill="auto"/>
            <w:tcMar>
              <w:top w:w="15" w:type="dxa"/>
              <w:left w:w="15" w:type="dxa"/>
              <w:bottom w:w="0" w:type="dxa"/>
              <w:right w:w="15" w:type="dxa"/>
            </w:tcMar>
            <w:vAlign w:val="center"/>
          </w:tcPr>
          <w:p>
            <w:pPr>
              <w:jc w:val="center"/>
              <w:rPr>
                <w:rFonts w:cs="Arial"/>
                <w:sz w:val="20"/>
                <w:szCs w:val="20"/>
              </w:rPr>
            </w:pPr>
            <w:r>
              <w:rPr>
                <w:rFonts w:hint="eastAsia" w:cs="Arial"/>
                <w:sz w:val="20"/>
                <w:szCs w:val="20"/>
              </w:rPr>
              <w:t>项目支出</w:t>
            </w:r>
          </w:p>
        </w:tc>
      </w:tr>
      <w:tr>
        <w:tblPrEx>
          <w:tblCellMar>
            <w:top w:w="0" w:type="dxa"/>
            <w:left w:w="0" w:type="dxa"/>
            <w:bottom w:w="0" w:type="dxa"/>
            <w:right w:w="0" w:type="dxa"/>
          </w:tblCellMar>
        </w:tblPrEx>
        <w:trPr>
          <w:trHeight w:val="300" w:hRule="atLeast"/>
        </w:trPr>
        <w:tc>
          <w:tcPr>
            <w:tcW w:w="190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854"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505"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600"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135"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0" w:type="dxa"/>
            <w:bottom w:w="0" w:type="dxa"/>
            <w:right w:w="0" w:type="dxa"/>
          </w:tblCellMar>
        </w:tblPrEx>
        <w:trPr>
          <w:trHeight w:val="300" w:hRule="atLeast"/>
        </w:trPr>
        <w:tc>
          <w:tcPr>
            <w:tcW w:w="1904" w:type="pct"/>
            <w:gridSpan w:val="3"/>
            <w:vMerge w:val="continue"/>
            <w:tcBorders>
              <w:top w:val="nil"/>
              <w:left w:val="single" w:color="000000" w:sz="4" w:space="0"/>
              <w:bottom w:val="single" w:color="000000" w:sz="4" w:space="0"/>
              <w:right w:val="single" w:color="000000" w:sz="4" w:space="0"/>
            </w:tcBorders>
            <w:shd w:val="clear" w:color="auto" w:fill="auto"/>
            <w:vAlign w:val="center"/>
          </w:tcPr>
          <w:p>
            <w:pPr>
              <w:rPr>
                <w:rFonts w:cs="Arial"/>
                <w:sz w:val="20"/>
                <w:szCs w:val="20"/>
              </w:rPr>
            </w:pPr>
          </w:p>
        </w:tc>
        <w:tc>
          <w:tcPr>
            <w:tcW w:w="854"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505"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600"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c>
          <w:tcPr>
            <w:tcW w:w="1135" w:type="pct"/>
            <w:vMerge w:val="continue"/>
            <w:tcBorders>
              <w:top w:val="nil"/>
              <w:left w:val="nil"/>
              <w:bottom w:val="single" w:color="000000" w:sz="4" w:space="0"/>
              <w:right w:val="single" w:color="000000" w:sz="4" w:space="0"/>
            </w:tcBorders>
            <w:shd w:val="clear" w:color="auto" w:fill="auto"/>
            <w:vAlign w:val="center"/>
          </w:tcPr>
          <w:p>
            <w:pPr>
              <w:rPr>
                <w:rFonts w:cs="Arial"/>
                <w:sz w:val="20"/>
                <w:szCs w:val="20"/>
              </w:rPr>
            </w:pPr>
          </w:p>
        </w:tc>
      </w:tr>
      <w:tr>
        <w:tblPrEx>
          <w:tblCellMar>
            <w:top w:w="0" w:type="dxa"/>
            <w:left w:w="0" w:type="dxa"/>
            <w:bottom w:w="0" w:type="dxa"/>
            <w:right w:w="0" w:type="dxa"/>
          </w:tblCellMar>
        </w:tblPrEx>
        <w:trPr>
          <w:trHeight w:val="300" w:hRule="atLeast"/>
        </w:trPr>
        <w:tc>
          <w:tcPr>
            <w:tcW w:w="2758"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sz w:val="20"/>
                <w:szCs w:val="20"/>
              </w:rPr>
            </w:pPr>
            <w:r>
              <w:rPr>
                <w:rFonts w:hint="eastAsia" w:cs="Arial"/>
                <w:sz w:val="20"/>
                <w:szCs w:val="20"/>
              </w:rPr>
              <w:t>栏次</w:t>
            </w:r>
          </w:p>
        </w:tc>
        <w:tc>
          <w:tcPr>
            <w:tcW w:w="505"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sz w:val="20"/>
                <w:szCs w:val="20"/>
              </w:rPr>
            </w:pPr>
            <w:r>
              <w:rPr>
                <w:rFonts w:hint="eastAsia" w:cs="Arial"/>
                <w:sz w:val="20"/>
                <w:szCs w:val="20"/>
              </w:rPr>
              <w:t>1</w:t>
            </w:r>
          </w:p>
        </w:tc>
        <w:tc>
          <w:tcPr>
            <w:tcW w:w="600"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sz w:val="20"/>
                <w:szCs w:val="20"/>
              </w:rPr>
            </w:pPr>
            <w:r>
              <w:rPr>
                <w:rFonts w:hint="eastAsia" w:cs="Arial"/>
                <w:sz w:val="20"/>
                <w:szCs w:val="20"/>
              </w:rPr>
              <w:t>2</w:t>
            </w:r>
          </w:p>
        </w:tc>
        <w:tc>
          <w:tcPr>
            <w:tcW w:w="1135"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center"/>
              <w:rPr>
                <w:rFonts w:cs="Arial"/>
                <w:sz w:val="20"/>
                <w:szCs w:val="20"/>
              </w:rPr>
            </w:pPr>
            <w:r>
              <w:rPr>
                <w:rFonts w:hint="eastAsia" w:cs="Arial"/>
                <w:sz w:val="20"/>
                <w:szCs w:val="20"/>
              </w:rPr>
              <w:t>3</w:t>
            </w:r>
          </w:p>
        </w:tc>
      </w:tr>
      <w:tr>
        <w:tblPrEx>
          <w:tblCellMar>
            <w:top w:w="0" w:type="dxa"/>
            <w:left w:w="0" w:type="dxa"/>
            <w:bottom w:w="0" w:type="dxa"/>
            <w:right w:w="0" w:type="dxa"/>
          </w:tblCellMar>
        </w:tblPrEx>
        <w:trPr>
          <w:trHeight w:val="300" w:hRule="atLeast"/>
        </w:trPr>
        <w:tc>
          <w:tcPr>
            <w:tcW w:w="2758" w:type="pct"/>
            <w:gridSpan w:val="4"/>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cs="Arial"/>
                <w:sz w:val="20"/>
                <w:szCs w:val="20"/>
              </w:rPr>
            </w:pPr>
            <w:r>
              <w:rPr>
                <w:rFonts w:hint="eastAsia" w:cs="Arial"/>
                <w:sz w:val="20"/>
                <w:szCs w:val="20"/>
              </w:rPr>
              <w:t>合计</w:t>
            </w:r>
          </w:p>
        </w:tc>
        <w:tc>
          <w:tcPr>
            <w:tcW w:w="505"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c>
          <w:tcPr>
            <w:tcW w:w="600"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c>
          <w:tcPr>
            <w:tcW w:w="1135"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cs="Arial"/>
                <w:b/>
                <w:bCs/>
                <w:sz w:val="20"/>
                <w:szCs w:val="20"/>
              </w:rPr>
            </w:pPr>
            <w:r>
              <w:rPr>
                <w:rFonts w:hint="eastAsia" w:cs="Arial"/>
                <w:sz w:val="20"/>
                <w:szCs w:val="20"/>
              </w:rPr>
              <w:t>0.00</w:t>
            </w:r>
            <w:r>
              <w:rPr>
                <w:rFonts w:hint="eastAsia" w:cs="Arial"/>
                <w:b/>
                <w:bCs/>
                <w:sz w:val="20"/>
                <w:szCs w:val="20"/>
              </w:rPr>
              <w:t>　</w:t>
            </w:r>
          </w:p>
        </w:tc>
      </w:tr>
      <w:tr>
        <w:tblPrEx>
          <w:tblCellMar>
            <w:top w:w="0" w:type="dxa"/>
            <w:left w:w="0" w:type="dxa"/>
            <w:bottom w:w="0" w:type="dxa"/>
            <w:right w:w="0" w:type="dxa"/>
          </w:tblCellMar>
        </w:tblPrEx>
        <w:trPr>
          <w:trHeight w:val="300" w:hRule="atLeast"/>
        </w:trPr>
        <w:tc>
          <w:tcPr>
            <w:tcW w:w="190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cs="Arial"/>
                <w:sz w:val="20"/>
                <w:szCs w:val="20"/>
              </w:rPr>
            </w:pPr>
            <w:r>
              <w:rPr>
                <w:rFonts w:hint="eastAsia" w:cs="Arial"/>
                <w:sz w:val="20"/>
                <w:szCs w:val="20"/>
              </w:rPr>
              <w:t>　</w:t>
            </w:r>
          </w:p>
        </w:tc>
        <w:tc>
          <w:tcPr>
            <w:tcW w:w="854"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rPr>
                <w:rFonts w:cs="Arial"/>
                <w:sz w:val="20"/>
                <w:szCs w:val="20"/>
              </w:rPr>
            </w:pPr>
            <w:r>
              <w:rPr>
                <w:rFonts w:hint="eastAsia" w:cs="Arial"/>
                <w:sz w:val="20"/>
                <w:szCs w:val="20"/>
              </w:rPr>
              <w:t>　</w:t>
            </w:r>
          </w:p>
        </w:tc>
        <w:tc>
          <w:tcPr>
            <w:tcW w:w="505"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cs="Arial"/>
                <w:sz w:val="20"/>
                <w:szCs w:val="20"/>
              </w:rPr>
            </w:pPr>
            <w:r>
              <w:rPr>
                <w:rFonts w:hint="eastAsia" w:cs="Arial"/>
                <w:sz w:val="20"/>
                <w:szCs w:val="20"/>
              </w:rPr>
              <w:t>0.00　</w:t>
            </w:r>
          </w:p>
        </w:tc>
        <w:tc>
          <w:tcPr>
            <w:tcW w:w="600"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cs="Arial"/>
                <w:sz w:val="20"/>
                <w:szCs w:val="20"/>
              </w:rPr>
            </w:pPr>
            <w:r>
              <w:rPr>
                <w:rFonts w:hint="eastAsia" w:cs="Arial"/>
                <w:sz w:val="20"/>
                <w:szCs w:val="20"/>
              </w:rPr>
              <w:t>0.00　</w:t>
            </w:r>
          </w:p>
        </w:tc>
        <w:tc>
          <w:tcPr>
            <w:tcW w:w="1135" w:type="pct"/>
            <w:tcBorders>
              <w:top w:val="nil"/>
              <w:left w:val="nil"/>
              <w:bottom w:val="single" w:color="000000" w:sz="4" w:space="0"/>
              <w:right w:val="single" w:color="000000" w:sz="4" w:space="0"/>
            </w:tcBorders>
            <w:shd w:val="clear" w:color="auto" w:fill="auto"/>
            <w:noWrap/>
            <w:tcMar>
              <w:top w:w="15" w:type="dxa"/>
              <w:left w:w="15" w:type="dxa"/>
              <w:bottom w:w="0" w:type="dxa"/>
              <w:right w:w="15" w:type="dxa"/>
            </w:tcMar>
            <w:vAlign w:val="center"/>
          </w:tcPr>
          <w:p>
            <w:pPr>
              <w:jc w:val="right"/>
              <w:rPr>
                <w:rFonts w:cs="Arial"/>
                <w:sz w:val="20"/>
                <w:szCs w:val="20"/>
              </w:rPr>
            </w:pPr>
            <w:r>
              <w:rPr>
                <w:rFonts w:hint="eastAsia" w:cs="Arial"/>
                <w:sz w:val="20"/>
                <w:szCs w:val="20"/>
              </w:rPr>
              <w:t>0.00　</w:t>
            </w:r>
          </w:p>
        </w:tc>
      </w:tr>
      <w:tr>
        <w:tblPrEx>
          <w:tblCellMar>
            <w:top w:w="0" w:type="dxa"/>
            <w:left w:w="0" w:type="dxa"/>
            <w:bottom w:w="0" w:type="dxa"/>
            <w:right w:w="0" w:type="dxa"/>
          </w:tblCellMar>
        </w:tblPrEx>
        <w:trPr>
          <w:trHeight w:val="300" w:hRule="atLeast"/>
        </w:trPr>
        <w:tc>
          <w:tcPr>
            <w:tcW w:w="5000" w:type="pct"/>
            <w:gridSpan w:val="7"/>
            <w:tcBorders>
              <w:top w:val="nil"/>
              <w:left w:val="nil"/>
              <w:bottom w:val="nil"/>
              <w:right w:val="nil"/>
            </w:tcBorders>
            <w:shd w:val="clear" w:color="auto" w:fill="auto"/>
            <w:noWrap/>
            <w:tcMar>
              <w:top w:w="15" w:type="dxa"/>
              <w:left w:w="15" w:type="dxa"/>
              <w:bottom w:w="0" w:type="dxa"/>
              <w:right w:w="15" w:type="dxa"/>
            </w:tcMar>
            <w:vAlign w:val="center"/>
          </w:tcPr>
          <w:p>
            <w:pPr>
              <w:rPr>
                <w:rFonts w:cs="Arial"/>
                <w:sz w:val="20"/>
                <w:szCs w:val="20"/>
              </w:rPr>
            </w:pPr>
            <w:r>
              <w:rPr>
                <w:rFonts w:hint="eastAsia" w:cs="Arial"/>
                <w:sz w:val="20"/>
                <w:szCs w:val="20"/>
              </w:rPr>
              <w:t>注：本表反映部门本年度国有资本经营预算财政拨款支出情况。202</w:t>
            </w:r>
            <w:r>
              <w:rPr>
                <w:rFonts w:hint="eastAsia" w:cs="Arial"/>
                <w:sz w:val="20"/>
                <w:szCs w:val="20"/>
                <w:lang w:val="en-US" w:eastAsia="zh-CN"/>
              </w:rPr>
              <w:t>1</w:t>
            </w:r>
            <w:r>
              <w:rPr>
                <w:rFonts w:hint="eastAsia" w:cs="Arial"/>
                <w:sz w:val="20"/>
                <w:szCs w:val="20"/>
              </w:rPr>
              <w:t>年度本单位无国有资本经营预算收支，因此本表无数据。</w:t>
            </w:r>
          </w:p>
        </w:tc>
      </w:tr>
    </w:tbl>
    <w:p>
      <w:pPr>
        <w:rPr>
          <w:rStyle w:val="16"/>
          <w:rFonts w:ascii="楷体" w:hAnsi="楷体" w:eastAsia="楷体" w:cs="楷体"/>
          <w:sz w:val="32"/>
          <w:szCs w:val="32"/>
          <w:shd w:val="clear" w:color="auto" w:fill="FFFFFF"/>
        </w:rPr>
      </w:pPr>
      <w:r>
        <w:rPr>
          <w:rStyle w:val="16"/>
          <w:rFonts w:ascii="楷体" w:hAnsi="楷体" w:eastAsia="楷体" w:cs="楷体"/>
          <w:sz w:val="32"/>
          <w:szCs w:val="32"/>
          <w:shd w:val="clear" w:color="auto" w:fill="FFFFFF"/>
        </w:rPr>
        <w:br w:type="page"/>
      </w:r>
    </w:p>
    <w:p>
      <w:pPr>
        <w:pStyle w:val="13"/>
        <w:spacing w:before="0" w:beforeAutospacing="0"/>
        <w:jc w:val="center"/>
        <w:outlineLvl w:val="0"/>
        <w:rPr>
          <w:rFonts w:cs="宋体"/>
          <w:sz w:val="44"/>
          <w:szCs w:val="44"/>
        </w:rPr>
      </w:pPr>
      <w:bookmarkStart w:id="14" w:name="_Toc1903"/>
      <w:r>
        <w:rPr>
          <w:rStyle w:val="16"/>
          <w:rFonts w:hint="eastAsia" w:ascii="黑体" w:hAnsi="黑体" w:eastAsia="黑体" w:cs="黑体"/>
          <w:sz w:val="44"/>
          <w:szCs w:val="44"/>
          <w:shd w:val="clear" w:color="auto" w:fill="FFFFFF"/>
        </w:rPr>
        <w:t>第三部分 202</w:t>
      </w:r>
      <w:r>
        <w:rPr>
          <w:rStyle w:val="16"/>
          <w:rFonts w:hint="eastAsia" w:ascii="黑体" w:hAnsi="黑体" w:eastAsia="黑体" w:cs="黑体"/>
          <w:sz w:val="44"/>
          <w:szCs w:val="44"/>
          <w:shd w:val="clear" w:color="auto" w:fill="FFFFFF"/>
          <w:lang w:val="en-US" w:eastAsia="zh-CN"/>
        </w:rPr>
        <w:t>1</w:t>
      </w:r>
      <w:r>
        <w:rPr>
          <w:rStyle w:val="16"/>
          <w:rFonts w:hint="eastAsia" w:ascii="黑体" w:hAnsi="黑体" w:eastAsia="黑体" w:cs="黑体"/>
          <w:sz w:val="44"/>
          <w:szCs w:val="44"/>
          <w:shd w:val="clear" w:color="auto" w:fill="FFFFFF"/>
        </w:rPr>
        <w:t>年度部门决算情况说明</w:t>
      </w:r>
      <w:bookmarkEnd w:id="14"/>
    </w:p>
    <w:p>
      <w:pPr>
        <w:pStyle w:val="13"/>
        <w:spacing w:before="0" w:beforeAutospacing="0" w:after="0" w:afterAutospacing="0" w:line="560" w:lineRule="exact"/>
        <w:ind w:firstLine="640" w:firstLineChars="200"/>
        <w:outlineLvl w:val="1"/>
        <w:rPr>
          <w:rStyle w:val="16"/>
          <w:rFonts w:ascii="楷体_GB2312" w:eastAsia="楷体_GB2312"/>
          <w:color w:val="FF0000"/>
          <w:shd w:val="clear" w:color="auto" w:fill="FFFFFF"/>
        </w:rPr>
      </w:pPr>
      <w:bookmarkStart w:id="15" w:name="_Toc20259"/>
      <w:bookmarkStart w:id="16" w:name="_Toc8716"/>
      <w:r>
        <w:rPr>
          <w:rStyle w:val="16"/>
          <w:rFonts w:hint="eastAsia" w:ascii="楷体_GB2312" w:hAnsi="楷体" w:eastAsia="楷体_GB2312" w:cs="楷体"/>
          <w:b w:val="0"/>
          <w:sz w:val="32"/>
          <w:szCs w:val="32"/>
          <w:shd w:val="clear" w:color="auto" w:fill="FFFFFF"/>
        </w:rPr>
        <w:t>一、收入支出决算总体情况说明</w:t>
      </w:r>
      <w:bookmarkEnd w:id="15"/>
      <w:bookmarkEnd w:id="16"/>
    </w:p>
    <w:p>
      <w:pPr>
        <w:pStyle w:val="13"/>
        <w:spacing w:before="0" w:beforeAutospacing="0" w:after="0" w:afterAutospacing="0" w:line="560" w:lineRule="exact"/>
        <w:ind w:firstLine="640" w:firstLineChars="200"/>
        <w:rPr>
          <w:rFonts w:hint="eastAsia" w:ascii="仿宋_GB2312" w:eastAsia="仿宋_GB2312" w:cs="宋体"/>
          <w:sz w:val="32"/>
          <w:szCs w:val="32"/>
        </w:rPr>
      </w:pPr>
      <w:bookmarkStart w:id="17" w:name="_Toc20242"/>
      <w:r>
        <w:rPr>
          <w:rFonts w:hint="eastAsia" w:ascii="仿宋_GB2312" w:eastAsia="仿宋_GB2312" w:cs="宋体"/>
          <w:sz w:val="32"/>
          <w:szCs w:val="32"/>
        </w:rPr>
        <w:t>202</w:t>
      </w:r>
      <w:r>
        <w:rPr>
          <w:rFonts w:hint="eastAsia" w:ascii="仿宋_GB2312" w:eastAsia="仿宋_GB2312" w:cs="宋体"/>
          <w:sz w:val="32"/>
          <w:szCs w:val="32"/>
          <w:lang w:val="en-US" w:eastAsia="zh-CN"/>
        </w:rPr>
        <w:t>1</w:t>
      </w:r>
      <w:r>
        <w:rPr>
          <w:rFonts w:hint="eastAsia" w:ascii="仿宋_GB2312" w:eastAsia="仿宋_GB2312" w:cs="宋体"/>
          <w:sz w:val="32"/>
          <w:szCs w:val="32"/>
        </w:rPr>
        <w:t>年收</w:t>
      </w:r>
      <w:r>
        <w:rPr>
          <w:rFonts w:hint="eastAsia" w:ascii="仿宋_GB2312" w:eastAsia="仿宋_GB2312" w:cs="宋体"/>
          <w:sz w:val="32"/>
          <w:szCs w:val="32"/>
          <w:lang w:eastAsia="zh-CN"/>
        </w:rPr>
        <w:t>、</w:t>
      </w:r>
      <w:r>
        <w:rPr>
          <w:rFonts w:hint="eastAsia" w:ascii="仿宋_GB2312" w:eastAsia="仿宋_GB2312" w:cs="宋体"/>
          <w:sz w:val="32"/>
          <w:szCs w:val="32"/>
        </w:rPr>
        <w:t>支总计</w:t>
      </w:r>
      <w:r>
        <w:rPr>
          <w:rFonts w:hint="eastAsia" w:ascii="仿宋_GB2312" w:eastAsia="仿宋_GB2312" w:cs="宋体"/>
          <w:sz w:val="32"/>
          <w:szCs w:val="32"/>
          <w:lang w:val="en-US" w:eastAsia="zh-CN"/>
        </w:rPr>
        <w:t>2909.52</w:t>
      </w:r>
      <w:r>
        <w:rPr>
          <w:rFonts w:hint="eastAsia" w:ascii="仿宋_GB2312" w:eastAsia="仿宋_GB2312" w:cs="宋体"/>
          <w:sz w:val="32"/>
          <w:szCs w:val="32"/>
        </w:rPr>
        <w:t>万元，</w:t>
      </w:r>
      <w:r>
        <w:rPr>
          <w:rFonts w:hint="eastAsia" w:ascii="仿宋_GB2312" w:eastAsia="仿宋_GB2312" w:cs="宋体"/>
          <w:sz w:val="32"/>
          <w:szCs w:val="32"/>
          <w:lang w:eastAsia="zh-CN"/>
        </w:rPr>
        <w:t>与上年相比，</w:t>
      </w:r>
      <w:r>
        <w:rPr>
          <w:rFonts w:hint="eastAsia" w:ascii="仿宋_GB2312" w:eastAsia="仿宋_GB2312" w:cs="宋体"/>
          <w:sz w:val="32"/>
          <w:szCs w:val="32"/>
        </w:rPr>
        <w:t>增加</w:t>
      </w:r>
      <w:r>
        <w:rPr>
          <w:rFonts w:hint="eastAsia" w:ascii="仿宋_GB2312" w:eastAsia="仿宋_GB2312" w:cs="宋体"/>
          <w:sz w:val="32"/>
          <w:szCs w:val="32"/>
          <w:lang w:val="en-US" w:eastAsia="zh-CN"/>
        </w:rPr>
        <w:t>280.26</w:t>
      </w:r>
      <w:r>
        <w:rPr>
          <w:rFonts w:hint="eastAsia" w:ascii="仿宋_GB2312" w:eastAsia="仿宋_GB2312" w:cs="宋体"/>
          <w:sz w:val="32"/>
          <w:szCs w:val="32"/>
        </w:rPr>
        <w:t>万元，增</w:t>
      </w:r>
      <w:r>
        <w:rPr>
          <w:rFonts w:hint="eastAsia" w:ascii="仿宋_GB2312" w:eastAsia="仿宋_GB2312" w:cs="宋体"/>
          <w:sz w:val="32"/>
          <w:szCs w:val="32"/>
          <w:lang w:eastAsia="zh-CN"/>
        </w:rPr>
        <w:t>长</w:t>
      </w:r>
      <w:r>
        <w:rPr>
          <w:rFonts w:hint="eastAsia" w:ascii="仿宋_GB2312" w:eastAsia="仿宋_GB2312" w:cs="宋体"/>
          <w:sz w:val="32"/>
          <w:szCs w:val="32"/>
          <w:lang w:val="en-US" w:eastAsia="zh-CN"/>
        </w:rPr>
        <w:t>10.66</w:t>
      </w:r>
      <w:r>
        <w:rPr>
          <w:rFonts w:hint="eastAsia" w:ascii="仿宋_GB2312" w:eastAsia="仿宋_GB2312" w:cs="宋体"/>
          <w:sz w:val="32"/>
          <w:szCs w:val="32"/>
        </w:rPr>
        <w:t>%。</w:t>
      </w:r>
      <w:bookmarkStart w:id="18" w:name="_Toc1157"/>
      <w:r>
        <w:rPr>
          <w:rFonts w:hint="eastAsia" w:ascii="仿宋_GB2312" w:eastAsia="仿宋_GB2312" w:cs="宋体"/>
          <w:sz w:val="32"/>
          <w:szCs w:val="32"/>
        </w:rPr>
        <w:t>主要</w:t>
      </w:r>
      <w:r>
        <w:rPr>
          <w:rFonts w:hint="eastAsia" w:ascii="仿宋_GB2312" w:eastAsia="仿宋_GB2312" w:cs="宋体"/>
          <w:sz w:val="32"/>
          <w:szCs w:val="32"/>
          <w:lang w:eastAsia="zh-CN"/>
        </w:rPr>
        <w:t>是因为</w:t>
      </w:r>
      <w:r>
        <w:rPr>
          <w:rFonts w:hint="eastAsia" w:ascii="仿宋_GB2312" w:eastAsia="仿宋_GB2312" w:cs="宋体"/>
          <w:sz w:val="32"/>
          <w:szCs w:val="32"/>
        </w:rPr>
        <w:t>本年度公用经费</w:t>
      </w:r>
      <w:r>
        <w:rPr>
          <w:rFonts w:hint="eastAsia" w:ascii="仿宋_GB2312" w:eastAsia="仿宋_GB2312" w:cs="宋体"/>
          <w:sz w:val="32"/>
          <w:szCs w:val="32"/>
          <w:lang w:eastAsia="zh-CN"/>
        </w:rPr>
        <w:t>和办案成本增加、</w:t>
      </w:r>
      <w:r>
        <w:rPr>
          <w:rFonts w:hint="eastAsia" w:ascii="仿宋_GB2312" w:eastAsia="仿宋_GB2312" w:cs="宋体"/>
          <w:sz w:val="32"/>
          <w:szCs w:val="32"/>
        </w:rPr>
        <w:t>物价上涨等因素导致本年度</w:t>
      </w:r>
      <w:r>
        <w:rPr>
          <w:rFonts w:hint="eastAsia" w:ascii="仿宋_GB2312" w:eastAsia="仿宋_GB2312" w:cs="宋体"/>
          <w:sz w:val="32"/>
          <w:szCs w:val="32"/>
          <w:lang w:eastAsia="zh-CN"/>
        </w:rPr>
        <w:t>总收支</w:t>
      </w:r>
      <w:r>
        <w:rPr>
          <w:rFonts w:hint="eastAsia" w:ascii="仿宋_GB2312" w:eastAsia="仿宋_GB2312" w:cs="宋体"/>
          <w:sz w:val="32"/>
          <w:szCs w:val="32"/>
        </w:rPr>
        <w:t>增加。</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二、收入决算情况说明</w:t>
      </w:r>
      <w:bookmarkEnd w:id="17"/>
      <w:bookmarkEnd w:id="18"/>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2021年度</w:t>
      </w:r>
      <w:r>
        <w:rPr>
          <w:rFonts w:hint="eastAsia" w:ascii="仿宋_GB2312" w:eastAsia="仿宋_GB2312"/>
          <w:sz w:val="32"/>
          <w:szCs w:val="32"/>
        </w:rPr>
        <w:t>收入合计</w:t>
      </w:r>
      <w:r>
        <w:rPr>
          <w:rFonts w:hint="eastAsia" w:ascii="仿宋_GB2312" w:eastAsia="仿宋_GB2312" w:cs="宋体"/>
          <w:sz w:val="32"/>
          <w:szCs w:val="32"/>
        </w:rPr>
        <w:t>2</w:t>
      </w:r>
      <w:r>
        <w:rPr>
          <w:rFonts w:hint="eastAsia" w:ascii="仿宋_GB2312" w:eastAsia="仿宋_GB2312" w:cs="宋体"/>
          <w:sz w:val="32"/>
          <w:szCs w:val="32"/>
          <w:lang w:val="en-US" w:eastAsia="zh-CN"/>
        </w:rPr>
        <w:t>735.06</w:t>
      </w:r>
      <w:r>
        <w:rPr>
          <w:rFonts w:hint="eastAsia" w:ascii="仿宋_GB2312" w:eastAsia="仿宋_GB2312"/>
          <w:sz w:val="32"/>
          <w:szCs w:val="32"/>
        </w:rPr>
        <w:t>万元，其中，财政拨款收入</w:t>
      </w:r>
      <w:r>
        <w:rPr>
          <w:rFonts w:hint="eastAsia" w:ascii="仿宋_GB2312" w:eastAsia="仿宋_GB2312" w:cs="宋体"/>
          <w:sz w:val="32"/>
          <w:szCs w:val="32"/>
        </w:rPr>
        <w:t>1</w:t>
      </w:r>
      <w:r>
        <w:rPr>
          <w:rFonts w:hint="eastAsia" w:ascii="仿宋_GB2312" w:eastAsia="仿宋_GB2312" w:cs="宋体"/>
          <w:sz w:val="32"/>
          <w:szCs w:val="32"/>
          <w:lang w:val="en-US" w:eastAsia="zh-CN"/>
        </w:rPr>
        <w:t>838.53</w:t>
      </w:r>
      <w:r>
        <w:rPr>
          <w:rFonts w:hint="eastAsia" w:ascii="仿宋_GB2312" w:eastAsia="仿宋_GB2312"/>
          <w:sz w:val="32"/>
          <w:szCs w:val="32"/>
        </w:rPr>
        <w:t>万元，占</w:t>
      </w:r>
      <w:r>
        <w:rPr>
          <w:rFonts w:hint="eastAsia" w:ascii="仿宋_GB2312" w:eastAsia="仿宋_GB2312"/>
          <w:sz w:val="32"/>
          <w:szCs w:val="32"/>
          <w:lang w:val="en-US" w:eastAsia="zh-CN"/>
        </w:rPr>
        <w:t>67.22</w:t>
      </w:r>
      <w:r>
        <w:rPr>
          <w:rFonts w:hint="eastAsia" w:ascii="仿宋_GB2312" w:eastAsia="仿宋_GB2312" w:cs="宋体"/>
          <w:sz w:val="32"/>
          <w:szCs w:val="32"/>
        </w:rPr>
        <w:t>%</w:t>
      </w:r>
      <w:r>
        <w:rPr>
          <w:rFonts w:hint="eastAsia" w:ascii="仿宋_GB2312" w:eastAsia="仿宋_GB2312"/>
          <w:sz w:val="32"/>
          <w:szCs w:val="32"/>
        </w:rPr>
        <w:t>；其他收入</w:t>
      </w:r>
      <w:r>
        <w:rPr>
          <w:rFonts w:hint="eastAsia" w:ascii="仿宋_GB2312" w:eastAsia="仿宋_GB2312"/>
          <w:sz w:val="32"/>
          <w:szCs w:val="32"/>
          <w:lang w:val="en-US" w:eastAsia="zh-CN"/>
        </w:rPr>
        <w:t>896.53</w:t>
      </w:r>
      <w:r>
        <w:rPr>
          <w:rFonts w:hint="eastAsia" w:ascii="仿宋_GB2312" w:eastAsia="仿宋_GB2312"/>
          <w:sz w:val="32"/>
          <w:szCs w:val="32"/>
        </w:rPr>
        <w:t>万元，占</w:t>
      </w:r>
      <w:r>
        <w:rPr>
          <w:rFonts w:hint="eastAsia" w:ascii="仿宋_GB2312" w:eastAsia="仿宋_GB2312"/>
          <w:sz w:val="32"/>
          <w:szCs w:val="32"/>
          <w:lang w:val="en-US" w:eastAsia="zh-CN"/>
        </w:rPr>
        <w:t>32.78</w:t>
      </w:r>
      <w:r>
        <w:rPr>
          <w:rFonts w:hint="eastAsia" w:ascii="仿宋_GB2312" w:eastAsia="仿宋_GB2312"/>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19" w:name="_Toc7581"/>
      <w:bookmarkStart w:id="20" w:name="_Toc32306"/>
      <w:r>
        <w:rPr>
          <w:rStyle w:val="16"/>
          <w:rFonts w:hint="eastAsia" w:ascii="楷体_GB2312" w:hAnsi="楷体" w:eastAsia="楷体_GB2312" w:cs="楷体"/>
          <w:b w:val="0"/>
          <w:sz w:val="32"/>
          <w:szCs w:val="32"/>
          <w:shd w:val="clear" w:color="auto" w:fill="FFFFFF"/>
        </w:rPr>
        <w:t>三、支出决算情况说明</w:t>
      </w:r>
      <w:bookmarkEnd w:id="19"/>
      <w:bookmarkEnd w:id="20"/>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2021年度</w:t>
      </w:r>
      <w:r>
        <w:rPr>
          <w:rFonts w:hint="eastAsia" w:ascii="仿宋_GB2312" w:eastAsia="仿宋_GB2312"/>
          <w:sz w:val="32"/>
          <w:szCs w:val="32"/>
        </w:rPr>
        <w:t>支出合计</w:t>
      </w:r>
      <w:r>
        <w:rPr>
          <w:rFonts w:hint="eastAsia" w:ascii="仿宋_GB2312" w:eastAsia="仿宋_GB2312"/>
          <w:sz w:val="32"/>
          <w:szCs w:val="32"/>
          <w:lang w:val="en-US" w:eastAsia="zh-CN"/>
        </w:rPr>
        <w:t>2633.30</w:t>
      </w:r>
      <w:r>
        <w:rPr>
          <w:rFonts w:hint="eastAsia" w:ascii="仿宋_GB2312" w:eastAsia="仿宋_GB2312"/>
          <w:sz w:val="32"/>
          <w:szCs w:val="32"/>
        </w:rPr>
        <w:t>万元，其中，基本支出2</w:t>
      </w:r>
      <w:r>
        <w:rPr>
          <w:rFonts w:hint="eastAsia" w:ascii="仿宋_GB2312" w:eastAsia="仿宋_GB2312"/>
          <w:sz w:val="32"/>
          <w:szCs w:val="32"/>
          <w:lang w:val="en-US" w:eastAsia="zh-CN"/>
        </w:rPr>
        <w:t>542.87</w:t>
      </w:r>
      <w:r>
        <w:rPr>
          <w:rFonts w:hint="eastAsia" w:ascii="仿宋_GB2312" w:eastAsia="仿宋_GB2312"/>
          <w:sz w:val="32"/>
          <w:szCs w:val="32"/>
        </w:rPr>
        <w:t>万元，占96.</w:t>
      </w:r>
      <w:r>
        <w:rPr>
          <w:rFonts w:hint="eastAsia" w:ascii="仿宋_GB2312" w:eastAsia="仿宋_GB2312"/>
          <w:sz w:val="32"/>
          <w:szCs w:val="32"/>
          <w:lang w:val="en-US" w:eastAsia="zh-CN"/>
        </w:rPr>
        <w:t>57</w:t>
      </w:r>
      <w:r>
        <w:rPr>
          <w:rFonts w:hint="eastAsia" w:ascii="仿宋_GB2312" w:eastAsia="仿宋_GB2312"/>
          <w:sz w:val="32"/>
          <w:szCs w:val="32"/>
        </w:rPr>
        <w:t>%；项目支出9</w:t>
      </w:r>
      <w:r>
        <w:rPr>
          <w:rFonts w:hint="eastAsia" w:ascii="仿宋_GB2312" w:eastAsia="仿宋_GB2312"/>
          <w:sz w:val="32"/>
          <w:szCs w:val="32"/>
          <w:lang w:val="en-US" w:eastAsia="zh-CN"/>
        </w:rPr>
        <w:t>0.43</w:t>
      </w:r>
      <w:r>
        <w:rPr>
          <w:rFonts w:hint="eastAsia" w:ascii="仿宋_GB2312" w:eastAsia="仿宋_GB2312"/>
          <w:sz w:val="32"/>
          <w:szCs w:val="32"/>
        </w:rPr>
        <w:t>万元，占3.</w:t>
      </w:r>
      <w:r>
        <w:rPr>
          <w:rFonts w:hint="eastAsia" w:ascii="仿宋_GB2312" w:eastAsia="仿宋_GB2312"/>
          <w:sz w:val="32"/>
          <w:szCs w:val="32"/>
          <w:lang w:val="en-US" w:eastAsia="zh-CN"/>
        </w:rPr>
        <w:t>43</w:t>
      </w:r>
      <w:r>
        <w:rPr>
          <w:rFonts w:hint="eastAsia" w:ascii="仿宋_GB2312" w:eastAsia="仿宋_GB2312"/>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hd w:val="clear" w:color="auto" w:fill="FFFFFF"/>
        </w:rPr>
      </w:pPr>
      <w:bookmarkStart w:id="21" w:name="_Toc19070"/>
      <w:bookmarkStart w:id="22" w:name="_Toc1788"/>
      <w:r>
        <w:rPr>
          <w:rStyle w:val="16"/>
          <w:rFonts w:hint="eastAsia" w:ascii="楷体_GB2312" w:hAnsi="楷体" w:eastAsia="楷体_GB2312" w:cs="楷体"/>
          <w:b w:val="0"/>
          <w:sz w:val="32"/>
          <w:szCs w:val="32"/>
          <w:shd w:val="clear" w:color="auto" w:fill="FFFFFF"/>
        </w:rPr>
        <w:t>四、财政拨款收入支出决算总体情况说明</w:t>
      </w:r>
      <w:bookmarkEnd w:id="21"/>
      <w:bookmarkEnd w:id="22"/>
    </w:p>
    <w:p>
      <w:pPr>
        <w:pStyle w:val="13"/>
        <w:spacing w:before="0" w:beforeAutospacing="0" w:after="0" w:afterAutospacing="0" w:line="560" w:lineRule="exact"/>
        <w:ind w:firstLine="640" w:firstLineChars="200"/>
        <w:rPr>
          <w:rFonts w:eastAsia="仿宋_GB2312"/>
          <w:b/>
          <w:bCs/>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年度财政拨款收、支总计</w:t>
      </w:r>
      <w:r>
        <w:rPr>
          <w:rFonts w:hint="eastAsia" w:ascii="仿宋_GB2312" w:eastAsia="仿宋_GB2312"/>
          <w:sz w:val="32"/>
          <w:szCs w:val="32"/>
          <w:lang w:val="en-US" w:eastAsia="zh-CN"/>
        </w:rPr>
        <w:t>2012.99</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rPr>
        <w:t>上年</w:t>
      </w:r>
      <w:r>
        <w:rPr>
          <w:rFonts w:hint="eastAsia" w:ascii="仿宋_GB2312" w:eastAsia="仿宋_GB2312"/>
          <w:sz w:val="32"/>
          <w:szCs w:val="32"/>
          <w:lang w:eastAsia="zh-CN"/>
        </w:rPr>
        <w:t>相比，</w:t>
      </w:r>
      <w:r>
        <w:rPr>
          <w:rFonts w:hint="eastAsia" w:ascii="仿宋_GB2312" w:eastAsia="仿宋_GB2312"/>
          <w:sz w:val="32"/>
          <w:szCs w:val="32"/>
        </w:rPr>
        <w:t>增加</w:t>
      </w:r>
      <w:r>
        <w:rPr>
          <w:rFonts w:hint="eastAsia" w:ascii="仿宋_GB2312" w:eastAsia="仿宋_GB2312"/>
          <w:sz w:val="32"/>
          <w:szCs w:val="32"/>
          <w:lang w:val="en-US" w:eastAsia="zh-CN"/>
        </w:rPr>
        <w:t>18.89</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0.95</w:t>
      </w:r>
      <w:r>
        <w:rPr>
          <w:rFonts w:hint="eastAsia" w:ascii="仿宋_GB2312" w:eastAsia="仿宋_GB2312"/>
          <w:sz w:val="32"/>
          <w:szCs w:val="32"/>
        </w:rPr>
        <w:t>%</w:t>
      </w:r>
      <w:r>
        <w:rPr>
          <w:rFonts w:hint="eastAsia" w:ascii="仿宋_GB2312" w:eastAsia="仿宋_GB2312"/>
          <w:sz w:val="32"/>
          <w:szCs w:val="32"/>
          <w:lang w:eastAsia="zh-CN"/>
        </w:rPr>
        <w:t>，</w:t>
      </w:r>
      <w:r>
        <w:rPr>
          <w:rFonts w:eastAsia="仿宋_GB2312"/>
          <w:sz w:val="32"/>
          <w:szCs w:val="32"/>
        </w:rPr>
        <w:t>主要</w:t>
      </w:r>
      <w:r>
        <w:rPr>
          <w:rFonts w:hint="eastAsia" w:ascii="仿宋_GB2312" w:eastAsia="仿宋_GB2312" w:cs="宋体"/>
          <w:sz w:val="32"/>
          <w:szCs w:val="32"/>
        </w:rPr>
        <w:t>是</w:t>
      </w:r>
      <w:r>
        <w:rPr>
          <w:rFonts w:hint="eastAsia" w:ascii="仿宋_GB2312" w:eastAsia="仿宋_GB2312" w:cs="宋体"/>
          <w:sz w:val="32"/>
          <w:szCs w:val="32"/>
          <w:lang w:eastAsia="zh-CN"/>
        </w:rPr>
        <w:t>因为办案、办公经费增加等</w:t>
      </w:r>
      <w:r>
        <w:rPr>
          <w:rFonts w:hint="eastAsia" w:ascii="仿宋_GB2312" w:eastAsia="仿宋_GB2312" w:cs="宋体"/>
          <w:sz w:val="32"/>
          <w:szCs w:val="32"/>
        </w:rPr>
        <w:t>导致财政拨款收支</w:t>
      </w:r>
      <w:r>
        <w:rPr>
          <w:rFonts w:hint="eastAsia" w:ascii="仿宋_GB2312" w:eastAsia="仿宋_GB2312" w:cs="宋体"/>
          <w:sz w:val="32"/>
          <w:szCs w:val="32"/>
          <w:lang w:eastAsia="zh-CN"/>
        </w:rPr>
        <w:t>有所</w:t>
      </w:r>
      <w:r>
        <w:rPr>
          <w:rFonts w:hint="eastAsia" w:ascii="仿宋_GB2312" w:eastAsia="仿宋_GB2312" w:cs="宋体"/>
          <w:sz w:val="32"/>
          <w:szCs w:val="32"/>
        </w:rPr>
        <w:t>增加</w:t>
      </w:r>
      <w:r>
        <w:rPr>
          <w:rFonts w:hint="eastAsia" w:eastAsia="仿宋_GB2312"/>
          <w:b/>
          <w:bCs/>
          <w:sz w:val="32"/>
          <w:szCs w:val="32"/>
        </w:rPr>
        <w:t>。</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hd w:val="clear" w:color="auto" w:fill="FFFFFF"/>
        </w:rPr>
      </w:pPr>
      <w:bookmarkStart w:id="23" w:name="_Toc28242"/>
      <w:bookmarkStart w:id="24" w:name="_Toc330"/>
      <w:r>
        <w:rPr>
          <w:rStyle w:val="16"/>
          <w:rFonts w:hint="eastAsia" w:ascii="楷体_GB2312" w:hAnsi="楷体" w:eastAsia="楷体_GB2312" w:cs="楷体"/>
          <w:b w:val="0"/>
          <w:sz w:val="32"/>
          <w:szCs w:val="32"/>
          <w:shd w:val="clear" w:color="auto" w:fill="FFFFFF"/>
        </w:rPr>
        <w:t>五、一般公共预算财政拨款支出决算情况说明</w:t>
      </w:r>
      <w:bookmarkEnd w:id="23"/>
      <w:bookmarkEnd w:id="24"/>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（一）财政拨款支出决算总体情况</w:t>
      </w:r>
    </w:p>
    <w:p>
      <w:pPr>
        <w:pStyle w:val="13"/>
        <w:spacing w:before="0" w:beforeAutospacing="0" w:after="0" w:afterAutospacing="0" w:line="560" w:lineRule="exact"/>
        <w:ind w:firstLine="640" w:firstLineChars="200"/>
        <w:rPr>
          <w:rFonts w:hint="eastAsia" w:ascii="仿宋_GB2312" w:eastAsia="仿宋_GB2312" w:cs="宋体"/>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年度财政拨款支出17</w:t>
      </w:r>
      <w:r>
        <w:rPr>
          <w:rFonts w:hint="eastAsia" w:ascii="仿宋_GB2312" w:eastAsia="仿宋_GB2312"/>
          <w:sz w:val="32"/>
          <w:szCs w:val="32"/>
          <w:lang w:val="en-US" w:eastAsia="zh-CN"/>
        </w:rPr>
        <w:t>36.76</w:t>
      </w:r>
      <w:r>
        <w:rPr>
          <w:rFonts w:hint="eastAsia" w:ascii="仿宋_GB2312" w:eastAsia="仿宋_GB2312"/>
          <w:sz w:val="32"/>
          <w:szCs w:val="32"/>
        </w:rPr>
        <w:t>万元，占本年支出合计的</w:t>
      </w:r>
      <w:r>
        <w:rPr>
          <w:rFonts w:hint="eastAsia" w:ascii="仿宋_GB2312" w:eastAsia="仿宋_GB2312"/>
          <w:sz w:val="32"/>
          <w:szCs w:val="32"/>
          <w:lang w:val="en-US" w:eastAsia="zh-CN"/>
        </w:rPr>
        <w:t>65.95</w:t>
      </w:r>
      <w:r>
        <w:rPr>
          <w:rFonts w:hint="eastAsia" w:ascii="仿宋_GB2312" w:eastAsia="仿宋_GB2312"/>
          <w:sz w:val="32"/>
          <w:szCs w:val="32"/>
        </w:rPr>
        <w:t>%，</w:t>
      </w:r>
      <w:r>
        <w:rPr>
          <w:rFonts w:hint="eastAsia" w:ascii="仿宋_GB2312" w:eastAsia="仿宋_GB2312"/>
          <w:sz w:val="32"/>
          <w:szCs w:val="32"/>
          <w:lang w:eastAsia="zh-CN"/>
        </w:rPr>
        <w:t>与上年相比，</w:t>
      </w:r>
      <w:r>
        <w:rPr>
          <w:rFonts w:hint="eastAsia" w:ascii="仿宋_GB2312" w:eastAsia="仿宋_GB2312"/>
          <w:sz w:val="32"/>
          <w:szCs w:val="32"/>
        </w:rPr>
        <w:t>财政拨款支出</w:t>
      </w:r>
      <w:r>
        <w:rPr>
          <w:rFonts w:hint="eastAsia" w:ascii="仿宋_GB2312" w:eastAsia="仿宋_GB2312"/>
          <w:sz w:val="32"/>
          <w:szCs w:val="32"/>
          <w:lang w:eastAsia="zh-CN"/>
        </w:rPr>
        <w:t>减少</w:t>
      </w:r>
      <w:r>
        <w:rPr>
          <w:rFonts w:hint="eastAsia" w:ascii="仿宋_GB2312" w:eastAsia="仿宋_GB2312"/>
          <w:sz w:val="32"/>
          <w:szCs w:val="32"/>
          <w:lang w:val="en-US" w:eastAsia="zh-CN"/>
        </w:rPr>
        <w:t>53.34</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2.98</w:t>
      </w:r>
      <w:r>
        <w:rPr>
          <w:rFonts w:hint="eastAsia" w:ascii="仿宋_GB2312" w:eastAsia="仿宋_GB2312"/>
          <w:sz w:val="32"/>
          <w:szCs w:val="32"/>
        </w:rPr>
        <w:t>%。主要</w:t>
      </w:r>
      <w:r>
        <w:rPr>
          <w:rFonts w:hint="eastAsia" w:ascii="仿宋_GB2312" w:eastAsia="仿宋_GB2312" w:cs="宋体"/>
          <w:sz w:val="32"/>
          <w:szCs w:val="32"/>
        </w:rPr>
        <w:t>是</w:t>
      </w:r>
      <w:r>
        <w:rPr>
          <w:rFonts w:hint="eastAsia" w:ascii="仿宋_GB2312" w:eastAsia="仿宋_GB2312" w:cs="宋体"/>
          <w:sz w:val="32"/>
          <w:szCs w:val="32"/>
          <w:lang w:eastAsia="zh-CN"/>
        </w:rPr>
        <w:t>因为</w:t>
      </w:r>
      <w:r>
        <w:rPr>
          <w:rFonts w:hint="eastAsia" w:ascii="仿宋_GB2312" w:eastAsia="仿宋_GB2312" w:cs="宋体"/>
          <w:sz w:val="32"/>
          <w:szCs w:val="32"/>
          <w:lang w:val="en-US" w:eastAsia="zh-CN"/>
        </w:rPr>
        <w:t>压缩一般性经费支出，同时因疫情因素影响，各项活动经费有所减少。</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（二）财政拨款支出决算结构情况</w:t>
      </w:r>
    </w:p>
    <w:p>
      <w:pPr>
        <w:spacing w:line="560" w:lineRule="exact"/>
        <w:ind w:firstLine="640" w:firstLineChars="200"/>
        <w:rPr>
          <w:rFonts w:ascii="仿宋_GB2312" w:eastAsia="仿宋_GB2312"/>
          <w:color w:val="FF0000"/>
        </w:rPr>
      </w:pPr>
      <w:r>
        <w:rPr>
          <w:rFonts w:hint="eastAsia" w:ascii="仿宋_GB2312" w:eastAsia="仿宋_GB2312" w:cs="宋体"/>
          <w:sz w:val="32"/>
          <w:szCs w:val="32"/>
        </w:rPr>
        <w:t>202</w:t>
      </w:r>
      <w:r>
        <w:rPr>
          <w:rFonts w:hint="eastAsia" w:ascii="仿宋_GB2312" w:eastAsia="仿宋_GB2312" w:cs="宋体"/>
          <w:sz w:val="32"/>
          <w:szCs w:val="32"/>
          <w:lang w:val="en-US" w:eastAsia="zh-CN"/>
        </w:rPr>
        <w:t>1</w:t>
      </w:r>
      <w:r>
        <w:rPr>
          <w:rFonts w:hint="eastAsia" w:ascii="仿宋_GB2312" w:eastAsia="仿宋_GB2312" w:cs="宋体"/>
          <w:sz w:val="32"/>
          <w:szCs w:val="32"/>
        </w:rPr>
        <w:t>年度财政拨款支出</w:t>
      </w:r>
      <w:r>
        <w:rPr>
          <w:rFonts w:hint="eastAsia" w:ascii="仿宋_GB2312" w:eastAsia="仿宋_GB2312"/>
          <w:sz w:val="32"/>
          <w:szCs w:val="32"/>
        </w:rPr>
        <w:t>17</w:t>
      </w:r>
      <w:r>
        <w:rPr>
          <w:rFonts w:hint="eastAsia" w:ascii="仿宋_GB2312" w:eastAsia="仿宋_GB2312"/>
          <w:sz w:val="32"/>
          <w:szCs w:val="32"/>
          <w:lang w:val="en-US" w:eastAsia="zh-CN"/>
        </w:rPr>
        <w:t>36.76</w:t>
      </w:r>
      <w:r>
        <w:rPr>
          <w:rFonts w:hint="eastAsia" w:ascii="仿宋_GB2312" w:eastAsia="仿宋_GB2312" w:cs="宋体"/>
          <w:sz w:val="32"/>
          <w:szCs w:val="32"/>
        </w:rPr>
        <w:t>万元，主要用于以下方面：公共安全支出14</w:t>
      </w:r>
      <w:r>
        <w:rPr>
          <w:rFonts w:hint="eastAsia" w:ascii="仿宋_GB2312" w:eastAsia="仿宋_GB2312" w:cs="宋体"/>
          <w:sz w:val="32"/>
          <w:szCs w:val="32"/>
          <w:lang w:val="en-US" w:eastAsia="zh-CN"/>
        </w:rPr>
        <w:t>29.76</w:t>
      </w:r>
      <w:r>
        <w:rPr>
          <w:rFonts w:hint="eastAsia" w:ascii="仿宋_GB2312" w:eastAsia="仿宋_GB2312" w:cs="宋体"/>
          <w:sz w:val="32"/>
          <w:szCs w:val="32"/>
        </w:rPr>
        <w:t>万元，占82</w:t>
      </w:r>
      <w:r>
        <w:rPr>
          <w:rFonts w:hint="eastAsia" w:ascii="仿宋_GB2312" w:eastAsia="仿宋_GB2312" w:cs="宋体"/>
          <w:sz w:val="32"/>
          <w:szCs w:val="32"/>
          <w:lang w:val="en-US" w:eastAsia="zh-CN"/>
        </w:rPr>
        <w:t>.32</w:t>
      </w:r>
      <w:r>
        <w:rPr>
          <w:rFonts w:hint="eastAsia" w:ascii="仿宋_GB2312" w:eastAsia="仿宋_GB2312" w:cs="宋体"/>
          <w:sz w:val="32"/>
          <w:szCs w:val="32"/>
        </w:rPr>
        <w:t>%；社会保障和就业支出</w:t>
      </w:r>
      <w:r>
        <w:rPr>
          <w:rFonts w:hint="eastAsia" w:ascii="仿宋_GB2312" w:eastAsia="仿宋_GB2312" w:cs="宋体"/>
          <w:sz w:val="32"/>
          <w:szCs w:val="32"/>
          <w:lang w:val="en-US" w:eastAsia="zh-CN"/>
        </w:rPr>
        <w:t>102.15</w:t>
      </w:r>
      <w:r>
        <w:rPr>
          <w:rFonts w:hint="eastAsia" w:ascii="仿宋_GB2312" w:eastAsia="仿宋_GB2312" w:cs="宋体"/>
          <w:sz w:val="32"/>
          <w:szCs w:val="32"/>
        </w:rPr>
        <w:t>万元，占5.</w:t>
      </w:r>
      <w:r>
        <w:rPr>
          <w:rFonts w:hint="eastAsia" w:ascii="仿宋_GB2312" w:eastAsia="仿宋_GB2312" w:cs="宋体"/>
          <w:sz w:val="32"/>
          <w:szCs w:val="32"/>
          <w:lang w:val="en-US" w:eastAsia="zh-CN"/>
        </w:rPr>
        <w:t>88</w:t>
      </w:r>
      <w:r>
        <w:rPr>
          <w:rFonts w:hint="eastAsia" w:ascii="仿宋_GB2312" w:eastAsia="仿宋_GB2312" w:cs="宋体"/>
          <w:sz w:val="32"/>
          <w:szCs w:val="32"/>
        </w:rPr>
        <w:t>%；卫生健康支出</w:t>
      </w:r>
      <w:r>
        <w:rPr>
          <w:rFonts w:hint="eastAsia" w:ascii="仿宋_GB2312" w:eastAsia="仿宋_GB2312" w:cs="宋体"/>
          <w:sz w:val="32"/>
          <w:szCs w:val="32"/>
          <w:lang w:val="en-US" w:eastAsia="zh-CN"/>
        </w:rPr>
        <w:t>40.85</w:t>
      </w:r>
      <w:r>
        <w:rPr>
          <w:rFonts w:hint="eastAsia" w:ascii="仿宋_GB2312" w:eastAsia="仿宋_GB2312" w:cs="宋体"/>
          <w:sz w:val="32"/>
          <w:szCs w:val="32"/>
        </w:rPr>
        <w:t>万元，占2.</w:t>
      </w:r>
      <w:r>
        <w:rPr>
          <w:rFonts w:hint="eastAsia" w:ascii="仿宋_GB2312" w:eastAsia="仿宋_GB2312" w:cs="宋体"/>
          <w:sz w:val="32"/>
          <w:szCs w:val="32"/>
          <w:lang w:val="en-US" w:eastAsia="zh-CN"/>
        </w:rPr>
        <w:t>35</w:t>
      </w:r>
      <w:r>
        <w:rPr>
          <w:rFonts w:hint="eastAsia" w:ascii="仿宋_GB2312" w:eastAsia="仿宋_GB2312" w:cs="宋体"/>
          <w:sz w:val="32"/>
          <w:szCs w:val="32"/>
        </w:rPr>
        <w:t>%；住房保障支出</w:t>
      </w:r>
      <w:r>
        <w:rPr>
          <w:rFonts w:hint="eastAsia" w:ascii="仿宋_GB2312" w:eastAsia="仿宋_GB2312" w:cs="宋体"/>
          <w:sz w:val="32"/>
          <w:szCs w:val="32"/>
          <w:lang w:val="en-US" w:eastAsia="zh-CN"/>
        </w:rPr>
        <w:t>164</w:t>
      </w:r>
      <w:r>
        <w:rPr>
          <w:rFonts w:hint="eastAsia" w:ascii="仿宋_GB2312" w:eastAsia="仿宋_GB2312" w:cs="宋体"/>
          <w:sz w:val="32"/>
          <w:szCs w:val="32"/>
        </w:rPr>
        <w:t>万元，占</w:t>
      </w:r>
      <w:r>
        <w:rPr>
          <w:rFonts w:hint="eastAsia" w:ascii="仿宋_GB2312" w:eastAsia="仿宋_GB2312" w:cs="宋体"/>
          <w:sz w:val="32"/>
          <w:szCs w:val="32"/>
          <w:lang w:val="en-US" w:eastAsia="zh-CN"/>
        </w:rPr>
        <w:t>9.44</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r>
        <w:rPr>
          <w:rStyle w:val="16"/>
          <w:rFonts w:hint="eastAsia" w:ascii="楷体_GB2312" w:hAnsi="楷体" w:eastAsia="楷体_GB2312" w:cs="楷体"/>
          <w:b w:val="0"/>
          <w:sz w:val="32"/>
          <w:szCs w:val="32"/>
          <w:shd w:val="clear" w:color="auto" w:fill="FFFFFF"/>
        </w:rPr>
        <w:t>（三）财政拨款支出决算具体情况</w:t>
      </w:r>
    </w:p>
    <w:p>
      <w:pPr>
        <w:spacing w:line="560" w:lineRule="exact"/>
        <w:ind w:firstLine="640" w:firstLineChars="200"/>
        <w:rPr>
          <w:rFonts w:ascii="仿宋_GB2312" w:eastAsia="仿宋_GB2312" w:cs="宋体"/>
        </w:rPr>
      </w:pPr>
      <w:r>
        <w:rPr>
          <w:rFonts w:hint="eastAsia" w:ascii="仿宋_GB2312" w:eastAsia="仿宋_GB2312" w:cs="宋体"/>
          <w:sz w:val="32"/>
          <w:szCs w:val="32"/>
        </w:rPr>
        <w:t>202</w:t>
      </w:r>
      <w:r>
        <w:rPr>
          <w:rFonts w:hint="eastAsia" w:ascii="仿宋_GB2312" w:eastAsia="仿宋_GB2312" w:cs="宋体"/>
          <w:sz w:val="32"/>
          <w:szCs w:val="32"/>
          <w:lang w:val="en-US" w:eastAsia="zh-CN"/>
        </w:rPr>
        <w:t>1</w:t>
      </w:r>
      <w:r>
        <w:rPr>
          <w:rFonts w:hint="eastAsia" w:ascii="仿宋_GB2312" w:eastAsia="仿宋_GB2312" w:cs="宋体"/>
          <w:sz w:val="32"/>
          <w:szCs w:val="32"/>
        </w:rPr>
        <w:t>年度财政拨款支出年初预算数为1</w:t>
      </w:r>
      <w:r>
        <w:rPr>
          <w:rFonts w:hint="eastAsia" w:ascii="仿宋_GB2312" w:eastAsia="仿宋_GB2312" w:cs="宋体"/>
          <w:sz w:val="32"/>
          <w:szCs w:val="32"/>
          <w:lang w:val="en-US" w:eastAsia="zh-CN"/>
        </w:rPr>
        <w:t>921.03</w:t>
      </w:r>
      <w:r>
        <w:rPr>
          <w:rFonts w:hint="eastAsia" w:ascii="仿宋_GB2312" w:eastAsia="仿宋_GB2312" w:cs="宋体"/>
          <w:sz w:val="32"/>
          <w:szCs w:val="32"/>
        </w:rPr>
        <w:t>万元，支出决算数为</w:t>
      </w:r>
      <w:r>
        <w:rPr>
          <w:rFonts w:hint="eastAsia" w:ascii="仿宋_GB2312" w:eastAsia="仿宋_GB2312"/>
          <w:sz w:val="32"/>
          <w:szCs w:val="32"/>
        </w:rPr>
        <w:t>17</w:t>
      </w:r>
      <w:r>
        <w:rPr>
          <w:rFonts w:hint="eastAsia" w:ascii="仿宋_GB2312" w:eastAsia="仿宋_GB2312"/>
          <w:sz w:val="32"/>
          <w:szCs w:val="32"/>
          <w:lang w:val="en-US" w:eastAsia="zh-CN"/>
        </w:rPr>
        <w:t>36.76</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90.41</w:t>
      </w:r>
      <w:r>
        <w:rPr>
          <w:rFonts w:hint="eastAsia" w:ascii="仿宋_GB2312" w:eastAsia="仿宋_GB2312" w:cs="宋体"/>
          <w:sz w:val="32"/>
          <w:szCs w:val="32"/>
        </w:rPr>
        <w:t>%，其中：</w:t>
      </w:r>
    </w:p>
    <w:p>
      <w:pPr>
        <w:pStyle w:val="13"/>
        <w:numPr>
          <w:ilvl w:val="0"/>
          <w:numId w:val="2"/>
        </w:numPr>
        <w:spacing w:before="0" w:beforeAutospacing="0" w:after="0" w:afterAutospacing="0" w:line="560"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公共安全-检察-行政运行支出年初预算</w:t>
      </w:r>
      <w:r>
        <w:rPr>
          <w:rFonts w:hint="eastAsia" w:ascii="仿宋_GB2312" w:eastAsia="仿宋_GB2312" w:cs="宋体"/>
          <w:sz w:val="32"/>
          <w:szCs w:val="32"/>
          <w:lang w:eastAsia="zh-CN"/>
        </w:rPr>
        <w:t>为</w:t>
      </w:r>
      <w:r>
        <w:rPr>
          <w:rFonts w:hint="eastAsia" w:ascii="仿宋_GB2312" w:eastAsia="仿宋_GB2312" w:cs="宋体"/>
          <w:sz w:val="32"/>
          <w:szCs w:val="32"/>
          <w:lang w:val="en-US" w:eastAsia="zh-CN"/>
        </w:rPr>
        <w:t>1316.53</w:t>
      </w:r>
      <w:r>
        <w:rPr>
          <w:rFonts w:hint="eastAsia" w:ascii="仿宋_GB2312" w:eastAsia="仿宋_GB2312" w:cs="宋体"/>
          <w:sz w:val="32"/>
          <w:szCs w:val="32"/>
        </w:rPr>
        <w:t>万元，</w:t>
      </w:r>
      <w:r>
        <w:rPr>
          <w:rFonts w:hint="eastAsia" w:ascii="仿宋_GB2312" w:eastAsia="仿宋_GB2312" w:cs="宋体"/>
          <w:sz w:val="32"/>
          <w:szCs w:val="32"/>
          <w:lang w:eastAsia="zh-CN"/>
        </w:rPr>
        <w:t>支出决算为</w:t>
      </w:r>
      <w:r>
        <w:rPr>
          <w:rFonts w:hint="eastAsia" w:ascii="仿宋_GB2312" w:eastAsia="仿宋_GB2312" w:cs="宋体"/>
          <w:sz w:val="32"/>
          <w:szCs w:val="32"/>
          <w:lang w:val="en-US" w:eastAsia="zh-CN"/>
        </w:rPr>
        <w:t>1283.83</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97.52</w:t>
      </w:r>
      <w:r>
        <w:rPr>
          <w:rFonts w:hint="eastAsia" w:ascii="仿宋_GB2312" w:eastAsia="仿宋_GB2312" w:cs="宋体"/>
          <w:sz w:val="32"/>
          <w:szCs w:val="32"/>
        </w:rPr>
        <w:t>%。决算数</w:t>
      </w:r>
      <w:r>
        <w:rPr>
          <w:rFonts w:hint="eastAsia" w:ascii="仿宋_GB2312" w:eastAsia="仿宋_GB2312" w:cs="宋体"/>
          <w:sz w:val="32"/>
          <w:szCs w:val="32"/>
          <w:lang w:eastAsia="zh-CN"/>
        </w:rPr>
        <w:t>小于</w:t>
      </w:r>
      <w:r>
        <w:rPr>
          <w:rFonts w:hint="eastAsia" w:ascii="仿宋_GB2312" w:eastAsia="仿宋_GB2312" w:cs="宋体"/>
          <w:sz w:val="32"/>
          <w:szCs w:val="32"/>
        </w:rPr>
        <w:t>年初预算数的主要原因是：</w:t>
      </w:r>
      <w:r>
        <w:rPr>
          <w:rFonts w:hint="eastAsia" w:ascii="仿宋_GB2312" w:eastAsia="仿宋_GB2312" w:cs="宋体"/>
          <w:sz w:val="32"/>
          <w:szCs w:val="32"/>
          <w:lang w:eastAsia="zh-CN"/>
        </w:rPr>
        <w:t>正常在职人员的减少导致年末实际支出减少。</w:t>
      </w:r>
    </w:p>
    <w:p>
      <w:pPr>
        <w:pStyle w:val="13"/>
        <w:numPr>
          <w:ilvl w:val="0"/>
          <w:numId w:val="0"/>
        </w:numPr>
        <w:spacing w:before="0" w:beforeAutospacing="0" w:after="0" w:afterAutospacing="0" w:line="560" w:lineRule="exact"/>
        <w:ind w:firstLine="640" w:firstLineChars="200"/>
        <w:rPr>
          <w:rFonts w:hint="eastAsia" w:ascii="仿宋_GB2312" w:eastAsia="仿宋_GB2312" w:cs="宋体"/>
          <w:sz w:val="32"/>
          <w:szCs w:val="32"/>
          <w:lang w:eastAsia="zh-CN"/>
        </w:rPr>
      </w:pPr>
      <w:r>
        <w:rPr>
          <w:rFonts w:hint="eastAsia" w:ascii="仿宋_GB2312" w:eastAsia="仿宋_GB2312" w:cs="宋体"/>
          <w:sz w:val="32"/>
          <w:szCs w:val="32"/>
        </w:rPr>
        <w:t>2、公共安全-检察-一般行政管理事务支出年初预算</w:t>
      </w:r>
      <w:r>
        <w:rPr>
          <w:rFonts w:hint="eastAsia" w:ascii="仿宋_GB2312" w:eastAsia="仿宋_GB2312" w:cs="宋体"/>
          <w:sz w:val="32"/>
          <w:szCs w:val="32"/>
          <w:lang w:eastAsia="zh-CN"/>
        </w:rPr>
        <w:t>为</w:t>
      </w:r>
      <w:r>
        <w:rPr>
          <w:rFonts w:hint="eastAsia" w:ascii="仿宋_GB2312" w:eastAsia="仿宋_GB2312" w:cs="宋体"/>
          <w:sz w:val="32"/>
          <w:szCs w:val="32"/>
          <w:lang w:val="en-US" w:eastAsia="zh-CN"/>
        </w:rPr>
        <w:t>184.5</w:t>
      </w:r>
      <w:r>
        <w:rPr>
          <w:rFonts w:hint="eastAsia" w:ascii="仿宋_GB2312" w:eastAsia="仿宋_GB2312" w:cs="宋体"/>
          <w:sz w:val="32"/>
          <w:szCs w:val="32"/>
        </w:rPr>
        <w:t>万元，</w:t>
      </w:r>
      <w:r>
        <w:rPr>
          <w:rFonts w:hint="eastAsia" w:ascii="仿宋_GB2312" w:eastAsia="仿宋_GB2312" w:cs="宋体"/>
          <w:sz w:val="32"/>
          <w:szCs w:val="32"/>
          <w:lang w:eastAsia="zh-CN"/>
        </w:rPr>
        <w:t>支出</w:t>
      </w:r>
      <w:r>
        <w:rPr>
          <w:rFonts w:hint="eastAsia" w:ascii="仿宋_GB2312" w:eastAsia="仿宋_GB2312" w:cs="宋体"/>
          <w:sz w:val="32"/>
          <w:szCs w:val="32"/>
        </w:rPr>
        <w:t>决算</w:t>
      </w:r>
      <w:r>
        <w:rPr>
          <w:rFonts w:hint="eastAsia" w:ascii="仿宋_GB2312" w:eastAsia="仿宋_GB2312" w:cs="宋体"/>
          <w:sz w:val="32"/>
          <w:szCs w:val="32"/>
          <w:lang w:eastAsia="zh-CN"/>
        </w:rPr>
        <w:t>为</w:t>
      </w:r>
      <w:r>
        <w:rPr>
          <w:rFonts w:hint="eastAsia" w:ascii="仿宋_GB2312" w:eastAsia="仿宋_GB2312" w:cs="宋体"/>
          <w:sz w:val="32"/>
          <w:szCs w:val="32"/>
          <w:lang w:val="en-US" w:eastAsia="zh-CN"/>
        </w:rPr>
        <w:t>83.77</w:t>
      </w:r>
      <w:r>
        <w:rPr>
          <w:rFonts w:hint="eastAsia" w:ascii="仿宋_GB2312" w:eastAsia="仿宋_GB2312" w:cs="宋体"/>
          <w:sz w:val="32"/>
          <w:szCs w:val="32"/>
        </w:rPr>
        <w:t>万元，完成年初预算的4</w:t>
      </w:r>
      <w:r>
        <w:rPr>
          <w:rFonts w:hint="eastAsia" w:ascii="仿宋_GB2312" w:eastAsia="仿宋_GB2312" w:cs="宋体"/>
          <w:sz w:val="32"/>
          <w:szCs w:val="32"/>
          <w:lang w:val="en-US" w:eastAsia="zh-CN"/>
        </w:rPr>
        <w:t>5.4</w:t>
      </w:r>
      <w:r>
        <w:rPr>
          <w:rFonts w:hint="eastAsia" w:ascii="仿宋_GB2312" w:eastAsia="仿宋_GB2312" w:cs="宋体"/>
          <w:sz w:val="32"/>
          <w:szCs w:val="32"/>
        </w:rPr>
        <w:t>%。决算数</w:t>
      </w:r>
      <w:r>
        <w:rPr>
          <w:rFonts w:hint="eastAsia" w:ascii="仿宋_GB2312" w:eastAsia="仿宋_GB2312" w:cs="宋体"/>
          <w:sz w:val="32"/>
          <w:szCs w:val="32"/>
          <w:lang w:eastAsia="zh-CN"/>
        </w:rPr>
        <w:t>小于</w:t>
      </w:r>
      <w:r>
        <w:rPr>
          <w:rFonts w:hint="eastAsia" w:ascii="仿宋_GB2312" w:eastAsia="仿宋_GB2312" w:cs="宋体"/>
          <w:sz w:val="32"/>
          <w:szCs w:val="32"/>
        </w:rPr>
        <w:t>年初预算数的主要原因是：因</w:t>
      </w:r>
      <w:r>
        <w:rPr>
          <w:rFonts w:hint="eastAsia" w:ascii="仿宋_GB2312" w:eastAsia="仿宋_GB2312" w:cs="宋体"/>
          <w:sz w:val="32"/>
          <w:szCs w:val="32"/>
          <w:lang w:eastAsia="zh-CN"/>
        </w:rPr>
        <w:t>疫情等不可控因素影响导致上年结转结余项目支出进展缓慢。</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3、公共安全-检察-检察监督支出年初预算为</w:t>
      </w:r>
      <w:r>
        <w:rPr>
          <w:rFonts w:hint="eastAsia" w:ascii="仿宋_GB2312" w:eastAsia="仿宋_GB2312" w:cs="宋体"/>
          <w:sz w:val="32"/>
          <w:szCs w:val="32"/>
          <w:lang w:val="en-US" w:eastAsia="zh-CN"/>
        </w:rPr>
        <w:t>89</w:t>
      </w:r>
      <w:r>
        <w:rPr>
          <w:rFonts w:hint="eastAsia" w:ascii="仿宋_GB2312" w:eastAsia="仿宋_GB2312" w:cs="宋体"/>
          <w:sz w:val="32"/>
          <w:szCs w:val="32"/>
        </w:rPr>
        <w:t>万元，决算支出数</w:t>
      </w:r>
      <w:r>
        <w:rPr>
          <w:rFonts w:hint="eastAsia" w:ascii="仿宋_GB2312" w:eastAsia="仿宋_GB2312" w:cs="宋体"/>
          <w:sz w:val="32"/>
          <w:szCs w:val="32"/>
          <w:lang w:val="en-US" w:eastAsia="zh-CN"/>
        </w:rPr>
        <w:t>62.16</w:t>
      </w:r>
      <w:r>
        <w:rPr>
          <w:rFonts w:hint="eastAsia" w:ascii="仿宋_GB2312" w:eastAsia="仿宋_GB2312" w:cs="宋体"/>
          <w:sz w:val="32"/>
          <w:szCs w:val="32"/>
        </w:rPr>
        <w:t>万元，完成年初预算的6</w:t>
      </w:r>
      <w:r>
        <w:rPr>
          <w:rFonts w:hint="eastAsia" w:ascii="仿宋_GB2312" w:eastAsia="仿宋_GB2312" w:cs="宋体"/>
          <w:sz w:val="32"/>
          <w:szCs w:val="32"/>
          <w:lang w:val="en-US" w:eastAsia="zh-CN"/>
        </w:rPr>
        <w:t>9.84</w:t>
      </w:r>
      <w:r>
        <w:rPr>
          <w:rFonts w:hint="eastAsia" w:ascii="仿宋_GB2312" w:eastAsia="仿宋_GB2312" w:cs="宋体"/>
          <w:sz w:val="32"/>
          <w:szCs w:val="32"/>
        </w:rPr>
        <w:t>%。决算数小于年初预算数的主要原因是检察监督办案工作不可预计性较大。</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4、社会保障和就业支出-行政事业单位养老支出-行政单位离退休年初预算12</w:t>
      </w:r>
      <w:r>
        <w:rPr>
          <w:rFonts w:hint="eastAsia" w:ascii="仿宋_GB2312" w:eastAsia="仿宋_GB2312" w:cs="宋体"/>
          <w:sz w:val="32"/>
          <w:szCs w:val="32"/>
          <w:lang w:val="en-US" w:eastAsia="zh-CN"/>
        </w:rPr>
        <w:t>.4</w:t>
      </w:r>
      <w:r>
        <w:rPr>
          <w:rFonts w:hint="eastAsia" w:ascii="仿宋_GB2312" w:eastAsia="仿宋_GB2312" w:cs="宋体"/>
          <w:sz w:val="32"/>
          <w:szCs w:val="32"/>
        </w:rPr>
        <w:t>万元，决算数11.68万元，完成年初预算的9</w:t>
      </w:r>
      <w:r>
        <w:rPr>
          <w:rFonts w:hint="eastAsia" w:ascii="仿宋_GB2312" w:eastAsia="仿宋_GB2312" w:cs="宋体"/>
          <w:sz w:val="32"/>
          <w:szCs w:val="32"/>
          <w:lang w:val="en-US" w:eastAsia="zh-CN"/>
        </w:rPr>
        <w:t>4.19</w:t>
      </w:r>
      <w:r>
        <w:rPr>
          <w:rFonts w:hint="eastAsia" w:ascii="仿宋_GB2312" w:eastAsia="仿宋_GB2312" w:cs="宋体"/>
          <w:sz w:val="32"/>
          <w:szCs w:val="32"/>
        </w:rPr>
        <w:t>%。决算数小于预算数的主要原因是正常</w:t>
      </w:r>
      <w:r>
        <w:rPr>
          <w:rFonts w:hint="eastAsia" w:ascii="仿宋_GB2312" w:eastAsia="仿宋_GB2312"/>
          <w:sz w:val="32"/>
        </w:rPr>
        <w:t>退休人员人员经费细微调整导致年末实际开支减少。</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5、社会保障和就业支出-行政事业单位养老支出-机关事业单位基本养老保险缴费支出年初预算</w:t>
      </w:r>
      <w:r>
        <w:rPr>
          <w:rFonts w:hint="eastAsia" w:ascii="仿宋_GB2312" w:eastAsia="仿宋_GB2312" w:cs="宋体"/>
          <w:sz w:val="32"/>
          <w:szCs w:val="32"/>
          <w:lang w:val="en-US" w:eastAsia="zh-CN"/>
        </w:rPr>
        <w:t>82</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79.86</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97.39</w:t>
      </w:r>
      <w:r>
        <w:rPr>
          <w:rFonts w:hint="eastAsia" w:ascii="仿宋_GB2312" w:eastAsia="仿宋_GB2312" w:cs="宋体"/>
          <w:sz w:val="32"/>
          <w:szCs w:val="32"/>
        </w:rPr>
        <w:t>%。决算数小于预算数的主要原因是正常</w:t>
      </w:r>
      <w:r>
        <w:rPr>
          <w:rFonts w:hint="eastAsia" w:ascii="仿宋_GB2312" w:eastAsia="仿宋_GB2312" w:cs="宋体"/>
          <w:sz w:val="32"/>
          <w:szCs w:val="32"/>
          <w:lang w:eastAsia="zh-CN"/>
        </w:rPr>
        <w:t>在职</w:t>
      </w:r>
      <w:r>
        <w:rPr>
          <w:rFonts w:hint="eastAsia" w:ascii="仿宋_GB2312" w:eastAsia="仿宋_GB2312" w:cs="宋体"/>
          <w:sz w:val="32"/>
          <w:szCs w:val="32"/>
        </w:rPr>
        <w:t>人员</w:t>
      </w:r>
      <w:r>
        <w:rPr>
          <w:rFonts w:hint="eastAsia" w:ascii="仿宋_GB2312" w:eastAsia="仿宋_GB2312" w:cs="宋体"/>
          <w:sz w:val="32"/>
          <w:szCs w:val="32"/>
          <w:lang w:eastAsia="zh-CN"/>
        </w:rPr>
        <w:t>减少</w:t>
      </w:r>
      <w:r>
        <w:rPr>
          <w:rFonts w:hint="eastAsia" w:ascii="仿宋_GB2312" w:eastAsia="仿宋_GB2312" w:cs="宋体"/>
          <w:sz w:val="32"/>
          <w:szCs w:val="32"/>
        </w:rPr>
        <w:t>导致</w:t>
      </w:r>
      <w:r>
        <w:rPr>
          <w:rFonts w:hint="eastAsia" w:ascii="仿宋_GB2312" w:eastAsia="仿宋_GB2312" w:cs="宋体"/>
          <w:sz w:val="32"/>
          <w:szCs w:val="32"/>
          <w:lang w:eastAsia="zh-CN"/>
        </w:rPr>
        <w:t>年中实际</w:t>
      </w:r>
      <w:r>
        <w:rPr>
          <w:rFonts w:hint="eastAsia" w:ascii="仿宋_GB2312" w:eastAsia="仿宋_GB2312" w:cs="宋体"/>
          <w:sz w:val="32"/>
          <w:szCs w:val="32"/>
        </w:rPr>
        <w:t>支出减少。</w:t>
      </w:r>
      <w:r>
        <w:rPr>
          <w:rFonts w:hint="eastAsia" w:ascii="仿宋_GB2312" w:eastAsia="仿宋_GB2312" w:cs="宋体"/>
          <w:sz w:val="32"/>
          <w:szCs w:val="32"/>
        </w:rPr>
        <w:br w:type="textWrapping"/>
      </w:r>
      <w:r>
        <w:rPr>
          <w:rFonts w:hint="eastAsia" w:ascii="仿宋_GB2312" w:eastAsia="仿宋_GB2312" w:cs="宋体"/>
          <w:sz w:val="32"/>
          <w:szCs w:val="32"/>
        </w:rPr>
        <w:t xml:space="preserve">    6、社会保障和就业支出-其他社会保障和就业支出-其他社会保障和就业支出年初预算</w:t>
      </w:r>
      <w:r>
        <w:rPr>
          <w:rFonts w:hint="eastAsia" w:ascii="仿宋_GB2312" w:eastAsia="仿宋_GB2312" w:cs="宋体"/>
          <w:sz w:val="32"/>
          <w:szCs w:val="32"/>
          <w:lang w:val="en-US" w:eastAsia="zh-CN"/>
        </w:rPr>
        <w:t>10.6</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10.6</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100</w:t>
      </w:r>
      <w:r>
        <w:rPr>
          <w:rFonts w:hint="eastAsia" w:ascii="仿宋_GB2312" w:eastAsia="仿宋_GB2312" w:cs="宋体"/>
          <w:sz w:val="32"/>
          <w:szCs w:val="32"/>
        </w:rPr>
        <w:t>%。</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7、卫生健康支出-行政事业单位医疗-行政单位医疗支出年初预算4</w:t>
      </w:r>
      <w:r>
        <w:rPr>
          <w:rFonts w:hint="eastAsia" w:ascii="仿宋_GB2312" w:eastAsia="仿宋_GB2312" w:cs="宋体"/>
          <w:sz w:val="32"/>
          <w:szCs w:val="32"/>
          <w:lang w:val="en-US" w:eastAsia="zh-CN"/>
        </w:rPr>
        <w:t>2</w:t>
      </w:r>
      <w:r>
        <w:rPr>
          <w:rFonts w:hint="eastAsia" w:ascii="仿宋_GB2312" w:eastAsia="仿宋_GB2312" w:cs="宋体"/>
          <w:sz w:val="32"/>
          <w:szCs w:val="32"/>
        </w:rPr>
        <w:t>万元，决算数</w:t>
      </w:r>
      <w:r>
        <w:rPr>
          <w:rFonts w:hint="eastAsia" w:ascii="仿宋_GB2312" w:eastAsia="仿宋_GB2312" w:cs="宋体"/>
          <w:sz w:val="32"/>
          <w:szCs w:val="32"/>
          <w:lang w:val="en-US" w:eastAsia="zh-CN"/>
        </w:rPr>
        <w:t>40.85</w:t>
      </w:r>
      <w:r>
        <w:rPr>
          <w:rFonts w:hint="eastAsia" w:ascii="仿宋_GB2312" w:eastAsia="仿宋_GB2312" w:cs="宋体"/>
          <w:sz w:val="32"/>
          <w:szCs w:val="32"/>
        </w:rPr>
        <w:t>万元，完成年初预算的9</w:t>
      </w:r>
      <w:r>
        <w:rPr>
          <w:rFonts w:hint="eastAsia" w:ascii="仿宋_GB2312" w:eastAsia="仿宋_GB2312" w:cs="宋体"/>
          <w:sz w:val="32"/>
          <w:szCs w:val="32"/>
          <w:lang w:val="en-US" w:eastAsia="zh-CN"/>
        </w:rPr>
        <w:t>7.26</w:t>
      </w:r>
      <w:r>
        <w:rPr>
          <w:rFonts w:hint="eastAsia" w:ascii="仿宋_GB2312" w:eastAsia="仿宋_GB2312" w:cs="宋体"/>
          <w:sz w:val="32"/>
          <w:szCs w:val="32"/>
        </w:rPr>
        <w:t>%。决算数小于预算数的主要原因是正常</w:t>
      </w:r>
      <w:r>
        <w:rPr>
          <w:rFonts w:hint="eastAsia" w:ascii="仿宋_GB2312" w:eastAsia="仿宋_GB2312" w:cs="宋体"/>
          <w:sz w:val="32"/>
          <w:szCs w:val="32"/>
          <w:lang w:eastAsia="zh-CN"/>
        </w:rPr>
        <w:t>在职</w:t>
      </w:r>
      <w:r>
        <w:rPr>
          <w:rFonts w:hint="eastAsia" w:ascii="仿宋_GB2312" w:eastAsia="仿宋_GB2312" w:cs="宋体"/>
          <w:sz w:val="32"/>
          <w:szCs w:val="32"/>
        </w:rPr>
        <w:t>人员</w:t>
      </w:r>
      <w:r>
        <w:rPr>
          <w:rFonts w:hint="eastAsia" w:ascii="仿宋_GB2312" w:eastAsia="仿宋_GB2312" w:cs="宋体"/>
          <w:sz w:val="32"/>
          <w:szCs w:val="32"/>
          <w:lang w:eastAsia="zh-CN"/>
        </w:rPr>
        <w:t>减少</w:t>
      </w:r>
      <w:r>
        <w:rPr>
          <w:rFonts w:hint="eastAsia" w:ascii="仿宋_GB2312" w:eastAsia="仿宋_GB2312" w:cs="宋体"/>
          <w:sz w:val="32"/>
          <w:szCs w:val="32"/>
        </w:rPr>
        <w:t>导致医疗支出减少。</w:t>
      </w:r>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8、住房保障支出-住房改革支出-住房公积金支出年初预算</w:t>
      </w:r>
      <w:r>
        <w:rPr>
          <w:rFonts w:hint="eastAsia" w:ascii="仿宋_GB2312" w:eastAsia="仿宋_GB2312" w:cs="宋体"/>
          <w:sz w:val="32"/>
          <w:szCs w:val="32"/>
          <w:lang w:val="en-US" w:eastAsia="zh-CN"/>
        </w:rPr>
        <w:t>184</w:t>
      </w:r>
      <w:r>
        <w:rPr>
          <w:rFonts w:hint="eastAsia" w:ascii="仿宋_GB2312" w:eastAsia="仿宋_GB2312" w:cs="宋体"/>
          <w:sz w:val="32"/>
          <w:szCs w:val="32"/>
        </w:rPr>
        <w:t>万元，决算数1</w:t>
      </w:r>
      <w:r>
        <w:rPr>
          <w:rFonts w:hint="eastAsia" w:ascii="仿宋_GB2312" w:eastAsia="仿宋_GB2312" w:cs="宋体"/>
          <w:sz w:val="32"/>
          <w:szCs w:val="32"/>
          <w:lang w:val="en-US" w:eastAsia="zh-CN"/>
        </w:rPr>
        <w:t>64</w:t>
      </w:r>
      <w:r>
        <w:rPr>
          <w:rFonts w:hint="eastAsia" w:ascii="仿宋_GB2312" w:eastAsia="仿宋_GB2312" w:cs="宋体"/>
          <w:sz w:val="32"/>
          <w:szCs w:val="32"/>
        </w:rPr>
        <w:t>万元，完成年初预算的</w:t>
      </w:r>
      <w:r>
        <w:rPr>
          <w:rFonts w:hint="eastAsia" w:ascii="仿宋_GB2312" w:eastAsia="仿宋_GB2312" w:cs="宋体"/>
          <w:sz w:val="32"/>
          <w:szCs w:val="32"/>
          <w:lang w:val="en-US" w:eastAsia="zh-CN"/>
        </w:rPr>
        <w:t>89.13</w:t>
      </w:r>
      <w:r>
        <w:rPr>
          <w:rFonts w:hint="eastAsia" w:ascii="仿宋_GB2312" w:eastAsia="仿宋_GB2312" w:cs="宋体"/>
          <w:sz w:val="32"/>
          <w:szCs w:val="32"/>
        </w:rPr>
        <w:t>%。决算数小于预算数的主要原因是正常在职人员减少导致住房公积金支出减少。</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5" w:name="_Toc3790"/>
      <w:bookmarkStart w:id="26" w:name="_Toc2717"/>
      <w:r>
        <w:rPr>
          <w:rStyle w:val="16"/>
          <w:rFonts w:hint="eastAsia" w:ascii="楷体_GB2312" w:hAnsi="楷体" w:eastAsia="楷体_GB2312" w:cs="楷体"/>
          <w:b w:val="0"/>
          <w:sz w:val="32"/>
          <w:szCs w:val="32"/>
          <w:shd w:val="clear" w:color="auto" w:fill="FFFFFF"/>
        </w:rPr>
        <w:t>六、一般公共预算财政拨款基本支出决算情况说明</w:t>
      </w:r>
      <w:bookmarkEnd w:id="25"/>
      <w:bookmarkEnd w:id="26"/>
    </w:p>
    <w:p>
      <w:pPr>
        <w:pStyle w:val="13"/>
        <w:spacing w:before="0" w:beforeAutospacing="0" w:after="0" w:afterAutospacing="0" w:line="560" w:lineRule="exact"/>
        <w:ind w:firstLine="640" w:firstLineChars="200"/>
        <w:rPr>
          <w:rFonts w:ascii="仿宋_GB2312" w:eastAsia="仿宋_GB2312" w:cs="宋体"/>
          <w:sz w:val="32"/>
          <w:szCs w:val="32"/>
        </w:rPr>
      </w:pPr>
      <w:r>
        <w:rPr>
          <w:rFonts w:hint="eastAsia" w:ascii="仿宋_GB2312" w:eastAsia="仿宋_GB2312" w:cs="宋体"/>
          <w:sz w:val="32"/>
          <w:szCs w:val="32"/>
        </w:rPr>
        <w:t>202</w:t>
      </w:r>
      <w:r>
        <w:rPr>
          <w:rFonts w:hint="eastAsia" w:ascii="仿宋_GB2312" w:eastAsia="仿宋_GB2312" w:cs="宋体"/>
          <w:sz w:val="32"/>
          <w:szCs w:val="32"/>
          <w:lang w:val="en-US" w:eastAsia="zh-CN"/>
        </w:rPr>
        <w:t>1</w:t>
      </w:r>
      <w:r>
        <w:rPr>
          <w:rFonts w:hint="eastAsia" w:ascii="仿宋_GB2312" w:eastAsia="仿宋_GB2312" w:cs="宋体"/>
          <w:sz w:val="32"/>
          <w:szCs w:val="32"/>
        </w:rPr>
        <w:t>年度财政拨款基本支出16</w:t>
      </w:r>
      <w:r>
        <w:rPr>
          <w:rFonts w:hint="eastAsia" w:ascii="仿宋_GB2312" w:eastAsia="仿宋_GB2312" w:cs="宋体"/>
          <w:sz w:val="32"/>
          <w:szCs w:val="32"/>
          <w:lang w:val="en-US" w:eastAsia="zh-CN"/>
        </w:rPr>
        <w:t>52.99</w:t>
      </w:r>
      <w:r>
        <w:rPr>
          <w:rFonts w:hint="eastAsia" w:ascii="仿宋_GB2312" w:eastAsia="仿宋_GB2312" w:cs="宋体"/>
          <w:sz w:val="32"/>
          <w:szCs w:val="32"/>
        </w:rPr>
        <w:t>万元，其中：人员经费1</w:t>
      </w:r>
      <w:r>
        <w:rPr>
          <w:rFonts w:hint="eastAsia" w:ascii="仿宋_GB2312" w:eastAsia="仿宋_GB2312" w:cs="宋体"/>
          <w:sz w:val="32"/>
          <w:szCs w:val="32"/>
          <w:lang w:val="en-US" w:eastAsia="zh-CN"/>
        </w:rPr>
        <w:t>183.28</w:t>
      </w:r>
      <w:r>
        <w:rPr>
          <w:rFonts w:hint="eastAsia" w:ascii="仿宋_GB2312" w:eastAsia="仿宋_GB2312" w:cs="宋体"/>
          <w:sz w:val="32"/>
          <w:szCs w:val="32"/>
        </w:rPr>
        <w:t>万元，占基本支出的7</w:t>
      </w:r>
      <w:r>
        <w:rPr>
          <w:rFonts w:hint="eastAsia" w:ascii="仿宋_GB2312" w:eastAsia="仿宋_GB2312" w:cs="宋体"/>
          <w:sz w:val="32"/>
          <w:szCs w:val="32"/>
          <w:lang w:val="en-US" w:eastAsia="zh-CN"/>
        </w:rPr>
        <w:t>1.58</w:t>
      </w:r>
      <w:r>
        <w:rPr>
          <w:rFonts w:hint="eastAsia" w:ascii="仿宋_GB2312" w:eastAsia="仿宋_GB2312" w:cs="宋体"/>
          <w:sz w:val="32"/>
          <w:szCs w:val="32"/>
        </w:rPr>
        <w:t>%,主要包括</w:t>
      </w:r>
      <w:r>
        <w:rPr>
          <w:rFonts w:hint="eastAsia" w:ascii="仿宋_GB2312" w:eastAsia="仿宋_GB2312"/>
          <w:sz w:val="32"/>
        </w:rPr>
        <w:t>基本工资、津贴补贴、奖金、机关事业单位基本养老保险缴费、职工基本医疗保险缴费、其他社会保障缴费、住房公积金、其他工资福利支出、离休费、抚恤金、奖励金、其他对个人和家庭的补助支出</w:t>
      </w:r>
      <w:r>
        <w:rPr>
          <w:rFonts w:hint="eastAsia" w:ascii="仿宋_GB2312" w:eastAsia="仿宋_GB2312" w:cs="宋体"/>
          <w:sz w:val="32"/>
          <w:szCs w:val="32"/>
        </w:rPr>
        <w:t>；公用经费</w:t>
      </w:r>
      <w:r>
        <w:rPr>
          <w:rFonts w:hint="eastAsia" w:ascii="仿宋_GB2312" w:eastAsia="仿宋_GB2312" w:cs="宋体"/>
          <w:sz w:val="32"/>
          <w:szCs w:val="32"/>
          <w:lang w:val="en-US" w:eastAsia="zh-CN"/>
        </w:rPr>
        <w:t>469.71</w:t>
      </w:r>
      <w:r>
        <w:rPr>
          <w:rFonts w:hint="eastAsia" w:ascii="仿宋_GB2312" w:eastAsia="仿宋_GB2312" w:cs="宋体"/>
          <w:sz w:val="32"/>
          <w:szCs w:val="32"/>
        </w:rPr>
        <w:t>万元，占基本支出的</w:t>
      </w:r>
      <w:r>
        <w:rPr>
          <w:rFonts w:hint="eastAsia" w:ascii="仿宋_GB2312" w:eastAsia="仿宋_GB2312" w:cs="宋体"/>
          <w:sz w:val="32"/>
          <w:szCs w:val="32"/>
          <w:lang w:val="en-US" w:eastAsia="zh-CN"/>
        </w:rPr>
        <w:t>28.42</w:t>
      </w:r>
      <w:r>
        <w:rPr>
          <w:rFonts w:hint="eastAsia" w:ascii="仿宋_GB2312" w:eastAsia="仿宋_GB2312" w:cs="宋体"/>
          <w:sz w:val="32"/>
          <w:szCs w:val="32"/>
        </w:rPr>
        <w:t>%，主要包括</w:t>
      </w:r>
      <w:r>
        <w:rPr>
          <w:rFonts w:hint="eastAsia" w:ascii="仿宋_GB2312" w:eastAsia="仿宋_GB2312"/>
          <w:sz w:val="32"/>
        </w:rPr>
        <w:t>办公费、印刷费、水费、电费、邮电费、物业管理费、差旅费、维修（护）费、公务接待费、劳务费、工会经费、福利费、公务用车运行维护费、其他交通费用、其他商品和服务支出。</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7" w:name="_Toc428"/>
      <w:bookmarkStart w:id="28" w:name="_Toc18644"/>
      <w:r>
        <w:rPr>
          <w:rStyle w:val="16"/>
          <w:rFonts w:hint="eastAsia" w:ascii="楷体_GB2312" w:hAnsi="楷体" w:eastAsia="楷体_GB2312" w:cs="楷体"/>
          <w:b w:val="0"/>
          <w:sz w:val="32"/>
          <w:szCs w:val="32"/>
          <w:shd w:val="clear" w:color="auto" w:fill="FFFFFF"/>
        </w:rPr>
        <w:t>七、一般公共预算财政拨款三公经费支出决算情况说明</w:t>
      </w:r>
      <w:bookmarkEnd w:id="27"/>
      <w:bookmarkEnd w:id="28"/>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（一）“三公”经费财政拨款支出决算总体情况说明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lang w:val="en-US" w:eastAsia="zh-CN"/>
        </w:rPr>
        <w:t>2021年度</w:t>
      </w:r>
      <w:r>
        <w:rPr>
          <w:rFonts w:hint="eastAsia" w:ascii="仿宋_GB2312" w:eastAsia="仿宋_GB2312"/>
          <w:sz w:val="32"/>
        </w:rPr>
        <w:t>“三公”经费财政拨款支出预算为36万元，支出决算为</w:t>
      </w:r>
      <w:r>
        <w:rPr>
          <w:rFonts w:hint="eastAsia" w:ascii="仿宋_GB2312" w:eastAsia="仿宋_GB2312"/>
          <w:sz w:val="32"/>
          <w:lang w:val="en-US" w:eastAsia="zh-CN"/>
        </w:rPr>
        <w:t>28.02</w:t>
      </w:r>
      <w:r>
        <w:rPr>
          <w:rFonts w:hint="eastAsia" w:ascii="仿宋_GB2312" w:eastAsia="仿宋_GB2312"/>
          <w:sz w:val="32"/>
        </w:rPr>
        <w:t>万元，完成预算的</w:t>
      </w:r>
      <w:r>
        <w:rPr>
          <w:rFonts w:hint="eastAsia" w:ascii="仿宋_GB2312" w:eastAsia="仿宋_GB2312"/>
          <w:sz w:val="32"/>
          <w:lang w:val="en-US" w:eastAsia="zh-CN"/>
        </w:rPr>
        <w:t>77.83</w:t>
      </w:r>
      <w:r>
        <w:rPr>
          <w:rFonts w:hint="eastAsia" w:ascii="仿宋_GB2312" w:eastAsia="仿宋_GB2312"/>
          <w:sz w:val="32"/>
        </w:rPr>
        <w:t>%，其中：</w:t>
      </w:r>
    </w:p>
    <w:p>
      <w:pPr>
        <w:pStyle w:val="13"/>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eastAsia="仿宋_GB2312"/>
          <w:sz w:val="32"/>
        </w:rPr>
        <w:t>因公出国（境）费支出预算为</w:t>
      </w:r>
      <w:r>
        <w:rPr>
          <w:rFonts w:hint="eastAsia" w:ascii="仿宋_GB2312" w:eastAsia="仿宋_GB2312"/>
          <w:sz w:val="32"/>
          <w:lang w:val="en-US" w:eastAsia="zh-CN"/>
        </w:rPr>
        <w:t>0</w:t>
      </w:r>
      <w:r>
        <w:rPr>
          <w:rFonts w:hint="eastAsia" w:ascii="仿宋_GB2312" w:eastAsia="仿宋_GB2312"/>
          <w:sz w:val="32"/>
        </w:rPr>
        <w:t>万元，支出决算为</w:t>
      </w:r>
      <w:r>
        <w:rPr>
          <w:rFonts w:hint="eastAsia" w:ascii="仿宋_GB2312" w:eastAsia="仿宋_GB2312"/>
          <w:sz w:val="32"/>
          <w:lang w:val="en-US" w:eastAsia="zh-CN"/>
        </w:rPr>
        <w:t>0</w:t>
      </w:r>
      <w:r>
        <w:rPr>
          <w:rFonts w:hint="eastAsia" w:ascii="仿宋_GB2312" w:eastAsia="仿宋_GB2312"/>
          <w:sz w:val="32"/>
        </w:rPr>
        <w:t>万元，决算数</w:t>
      </w:r>
      <w:r>
        <w:rPr>
          <w:rFonts w:hint="eastAsia" w:ascii="仿宋_GB2312" w:eastAsia="仿宋_GB2312"/>
          <w:sz w:val="32"/>
          <w:lang w:eastAsia="zh-CN"/>
        </w:rPr>
        <w:t>等于</w:t>
      </w:r>
      <w:r>
        <w:rPr>
          <w:rFonts w:hint="eastAsia" w:ascii="仿宋_GB2312" w:eastAsia="仿宋_GB2312"/>
          <w:sz w:val="32"/>
        </w:rPr>
        <w:t>预算数的主要原因是</w:t>
      </w:r>
      <w:r>
        <w:rPr>
          <w:rFonts w:hint="eastAsia" w:ascii="仿宋_GB2312" w:eastAsia="仿宋_GB2312"/>
          <w:sz w:val="32"/>
          <w:lang w:eastAsia="zh-CN"/>
        </w:rPr>
        <w:t>本单位</w:t>
      </w:r>
      <w:r>
        <w:rPr>
          <w:rFonts w:hint="eastAsia" w:ascii="仿宋_GB2312" w:eastAsia="仿宋_GB2312"/>
          <w:sz w:val="32"/>
          <w:lang w:val="en-US" w:eastAsia="zh-CN"/>
        </w:rPr>
        <w:t>2021</w:t>
      </w:r>
      <w:r>
        <w:rPr>
          <w:rFonts w:hint="eastAsia" w:ascii="仿宋_GB2312" w:eastAsia="仿宋_GB2312"/>
          <w:sz w:val="32"/>
          <w:lang w:eastAsia="zh-CN"/>
        </w:rPr>
        <w:t>年度无</w:t>
      </w:r>
      <w:r>
        <w:rPr>
          <w:rFonts w:hint="eastAsia" w:ascii="仿宋_GB2312" w:eastAsia="仿宋_GB2312"/>
          <w:sz w:val="32"/>
        </w:rPr>
        <w:t>因公出国（境）费支出</w:t>
      </w:r>
      <w:r>
        <w:rPr>
          <w:rFonts w:hint="eastAsia" w:ascii="仿宋_GB2312" w:eastAsia="仿宋_GB2312"/>
          <w:sz w:val="32"/>
          <w:lang w:eastAsia="zh-CN"/>
        </w:rPr>
        <w:t>，与上年相比无变化。</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公务接待费支出预算为1</w:t>
      </w:r>
      <w:r>
        <w:rPr>
          <w:rFonts w:hint="eastAsia" w:ascii="仿宋_GB2312" w:eastAsia="仿宋_GB2312"/>
          <w:sz w:val="32"/>
          <w:lang w:val="en-US" w:eastAsia="zh-CN"/>
        </w:rPr>
        <w:t>0</w:t>
      </w:r>
      <w:r>
        <w:rPr>
          <w:rFonts w:hint="eastAsia" w:ascii="仿宋_GB2312" w:eastAsia="仿宋_GB2312"/>
          <w:sz w:val="32"/>
        </w:rPr>
        <w:t>万元，支出决算为</w:t>
      </w:r>
      <w:r>
        <w:rPr>
          <w:rFonts w:hint="eastAsia" w:ascii="仿宋_GB2312" w:eastAsia="仿宋_GB2312"/>
          <w:sz w:val="32"/>
          <w:lang w:val="en-US" w:eastAsia="zh-CN"/>
        </w:rPr>
        <w:t>4.4</w:t>
      </w:r>
      <w:r>
        <w:rPr>
          <w:rFonts w:hint="eastAsia" w:ascii="仿宋_GB2312" w:eastAsia="仿宋_GB2312"/>
          <w:sz w:val="32"/>
        </w:rPr>
        <w:t>万元，完成预算的4</w:t>
      </w:r>
      <w:r>
        <w:rPr>
          <w:rFonts w:hint="eastAsia" w:ascii="仿宋_GB2312" w:eastAsia="仿宋_GB2312"/>
          <w:sz w:val="32"/>
          <w:lang w:val="en-US" w:eastAsia="zh-CN"/>
        </w:rPr>
        <w:t>4</w:t>
      </w:r>
      <w:r>
        <w:rPr>
          <w:rFonts w:hint="eastAsia" w:ascii="仿宋_GB2312" w:eastAsia="仿宋_GB2312"/>
          <w:sz w:val="32"/>
        </w:rPr>
        <w:t>%，决算数小于年初预算数的主要原因是进一步从严控制公务接待经费开支，全年实际支出比预算节约幅度较大，与上年相比减少</w:t>
      </w:r>
      <w:r>
        <w:rPr>
          <w:rFonts w:hint="eastAsia" w:ascii="仿宋_GB2312" w:eastAsia="仿宋_GB2312"/>
          <w:sz w:val="32"/>
          <w:lang w:val="en-US" w:eastAsia="zh-CN"/>
        </w:rPr>
        <w:t>1.58</w:t>
      </w:r>
      <w:r>
        <w:rPr>
          <w:rFonts w:hint="eastAsia" w:ascii="仿宋_GB2312" w:eastAsia="仿宋_GB2312"/>
          <w:sz w:val="32"/>
        </w:rPr>
        <w:t>万元，减少</w:t>
      </w:r>
      <w:r>
        <w:rPr>
          <w:rFonts w:hint="eastAsia" w:ascii="仿宋_GB2312" w:eastAsia="仿宋_GB2312"/>
          <w:sz w:val="32"/>
          <w:lang w:val="en-US" w:eastAsia="zh-CN"/>
        </w:rPr>
        <w:t>26.42</w:t>
      </w:r>
      <w:r>
        <w:rPr>
          <w:rFonts w:hint="eastAsia" w:ascii="仿宋_GB2312" w:eastAsia="仿宋_GB2312"/>
          <w:sz w:val="32"/>
        </w:rPr>
        <w:t>%,减少的主要原因是严格控制经费开支、疫情等因素影响。</w:t>
      </w:r>
    </w:p>
    <w:p>
      <w:pPr>
        <w:pStyle w:val="13"/>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eastAsia="仿宋_GB2312"/>
          <w:sz w:val="32"/>
        </w:rPr>
        <w:t>公务用车购置费及运行维护费支出预算为2</w:t>
      </w:r>
      <w:r>
        <w:rPr>
          <w:rFonts w:hint="eastAsia" w:ascii="仿宋_GB2312" w:eastAsia="仿宋_GB2312"/>
          <w:sz w:val="32"/>
          <w:lang w:val="en-US" w:eastAsia="zh-CN"/>
        </w:rPr>
        <w:t>6</w:t>
      </w:r>
      <w:r>
        <w:rPr>
          <w:rFonts w:hint="eastAsia" w:ascii="仿宋_GB2312" w:eastAsia="仿宋_GB2312"/>
          <w:sz w:val="32"/>
        </w:rPr>
        <w:t>万元，支出决算为</w:t>
      </w:r>
      <w:r>
        <w:rPr>
          <w:rFonts w:hint="eastAsia" w:ascii="仿宋_GB2312" w:eastAsia="仿宋_GB2312"/>
          <w:sz w:val="32"/>
          <w:lang w:val="en-US" w:eastAsia="zh-CN"/>
        </w:rPr>
        <w:t>23.62</w:t>
      </w:r>
      <w:r>
        <w:rPr>
          <w:rFonts w:hint="eastAsia" w:ascii="仿宋_GB2312" w:eastAsia="仿宋_GB2312"/>
          <w:sz w:val="32"/>
        </w:rPr>
        <w:t>万元，完成预算的</w:t>
      </w:r>
      <w:r>
        <w:rPr>
          <w:rFonts w:hint="eastAsia" w:ascii="仿宋_GB2312" w:eastAsia="仿宋_GB2312"/>
          <w:sz w:val="32"/>
          <w:lang w:val="en-US" w:eastAsia="zh-CN"/>
        </w:rPr>
        <w:t>90.85</w:t>
      </w:r>
      <w:r>
        <w:rPr>
          <w:rFonts w:hint="eastAsia" w:ascii="仿宋_GB2312" w:eastAsia="仿宋_GB2312"/>
          <w:sz w:val="32"/>
        </w:rPr>
        <w:t>%，决算数</w:t>
      </w:r>
      <w:r>
        <w:rPr>
          <w:rFonts w:hint="eastAsia" w:ascii="仿宋_GB2312" w:eastAsia="仿宋_GB2312"/>
          <w:sz w:val="32"/>
          <w:lang w:eastAsia="zh-CN"/>
        </w:rPr>
        <w:t>小于</w:t>
      </w:r>
      <w:r>
        <w:rPr>
          <w:rFonts w:hint="eastAsia" w:ascii="仿宋_GB2312" w:eastAsia="仿宋_GB2312"/>
          <w:sz w:val="32"/>
        </w:rPr>
        <w:t>年初预算数的主要原因是</w:t>
      </w:r>
      <w:r>
        <w:rPr>
          <w:rFonts w:hint="eastAsia" w:ascii="仿宋_GB2312" w:eastAsia="仿宋_GB2312"/>
          <w:sz w:val="32"/>
          <w:lang w:eastAsia="zh-CN"/>
        </w:rPr>
        <w:t>进一步从严控制公务用车购置费及运行维护费开支，</w:t>
      </w:r>
      <w:r>
        <w:rPr>
          <w:rFonts w:hint="eastAsia" w:ascii="仿宋_GB2312" w:eastAsia="仿宋_GB2312"/>
          <w:sz w:val="32"/>
        </w:rPr>
        <w:t>与上年相比</w:t>
      </w:r>
      <w:r>
        <w:rPr>
          <w:rFonts w:hint="eastAsia" w:ascii="仿宋_GB2312" w:eastAsia="仿宋_GB2312"/>
          <w:sz w:val="32"/>
          <w:lang w:eastAsia="zh-CN"/>
        </w:rPr>
        <w:t>减少</w:t>
      </w:r>
      <w:r>
        <w:rPr>
          <w:rFonts w:hint="eastAsia" w:ascii="仿宋_GB2312" w:eastAsia="仿宋_GB2312"/>
          <w:sz w:val="32"/>
          <w:lang w:val="en-US" w:eastAsia="zh-CN"/>
        </w:rPr>
        <w:t>3.47</w:t>
      </w:r>
      <w:r>
        <w:rPr>
          <w:rFonts w:hint="eastAsia" w:ascii="仿宋_GB2312" w:eastAsia="仿宋_GB2312"/>
          <w:sz w:val="32"/>
        </w:rPr>
        <w:t>万元，</w:t>
      </w:r>
      <w:r>
        <w:rPr>
          <w:rFonts w:hint="eastAsia" w:ascii="仿宋_GB2312" w:eastAsia="仿宋_GB2312"/>
          <w:sz w:val="32"/>
          <w:lang w:eastAsia="zh-CN"/>
        </w:rPr>
        <w:t>减少</w:t>
      </w:r>
      <w:r>
        <w:rPr>
          <w:rFonts w:hint="eastAsia" w:ascii="仿宋_GB2312" w:eastAsia="仿宋_GB2312"/>
          <w:sz w:val="32"/>
          <w:lang w:val="en-US" w:eastAsia="zh-CN"/>
        </w:rPr>
        <w:t>12.81</w:t>
      </w:r>
      <w:r>
        <w:rPr>
          <w:rFonts w:hint="eastAsia" w:ascii="仿宋_GB2312" w:eastAsia="仿宋_GB2312"/>
          <w:sz w:val="32"/>
        </w:rPr>
        <w:t>%,</w:t>
      </w:r>
      <w:r>
        <w:rPr>
          <w:rFonts w:hint="eastAsia" w:ascii="仿宋_GB2312" w:eastAsia="仿宋_GB2312"/>
          <w:sz w:val="32"/>
          <w:lang w:eastAsia="zh-CN"/>
        </w:rPr>
        <w:t>减少</w:t>
      </w:r>
      <w:r>
        <w:rPr>
          <w:rFonts w:hint="eastAsia" w:ascii="仿宋_GB2312" w:eastAsia="仿宋_GB2312"/>
          <w:sz w:val="32"/>
        </w:rPr>
        <w:t>的主要原因</w:t>
      </w:r>
      <w:r>
        <w:rPr>
          <w:rFonts w:hint="eastAsia" w:ascii="仿宋_GB2312" w:eastAsia="仿宋_GB2312"/>
          <w:sz w:val="32"/>
          <w:lang w:eastAsia="zh-CN"/>
        </w:rPr>
        <w:t>是严格执行相关规定，从严控制公务用车购置费及运行维护费开支。</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（二）“三公”经费财政拨款支出决算具体情况说明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1</w:t>
      </w:r>
      <w:r>
        <w:rPr>
          <w:rFonts w:hint="eastAsia" w:ascii="仿宋_GB2312" w:eastAsia="仿宋_GB2312"/>
          <w:sz w:val="32"/>
        </w:rPr>
        <w:t>年度“三公”经费财政拨款支出决算中，公务接待费支出决算</w:t>
      </w:r>
      <w:r>
        <w:rPr>
          <w:rFonts w:hint="eastAsia" w:ascii="仿宋_GB2312" w:eastAsia="仿宋_GB2312"/>
          <w:sz w:val="32"/>
          <w:lang w:val="en-US" w:eastAsia="zh-CN"/>
        </w:rPr>
        <w:t>4.4</w:t>
      </w:r>
      <w:r>
        <w:rPr>
          <w:rFonts w:hint="eastAsia" w:ascii="仿宋_GB2312" w:eastAsia="仿宋_GB2312"/>
          <w:sz w:val="32"/>
        </w:rPr>
        <w:t>万元，占1</w:t>
      </w:r>
      <w:r>
        <w:rPr>
          <w:rFonts w:hint="eastAsia" w:ascii="仿宋_GB2312" w:eastAsia="仿宋_GB2312"/>
          <w:sz w:val="32"/>
          <w:lang w:val="en-US" w:eastAsia="zh-CN"/>
        </w:rPr>
        <w:t>5.7</w:t>
      </w:r>
      <w:r>
        <w:rPr>
          <w:rFonts w:hint="eastAsia" w:ascii="仿宋_GB2312" w:eastAsia="仿宋_GB2312"/>
          <w:sz w:val="32"/>
        </w:rPr>
        <w:t>%,因公出国（境）费支出决算</w:t>
      </w:r>
      <w:r>
        <w:rPr>
          <w:rFonts w:hint="eastAsia" w:ascii="仿宋_GB2312" w:eastAsia="仿宋_GB2312"/>
          <w:sz w:val="32"/>
          <w:lang w:val="en-US" w:eastAsia="zh-CN"/>
        </w:rPr>
        <w:t>0</w:t>
      </w:r>
      <w:r>
        <w:rPr>
          <w:rFonts w:hint="eastAsia" w:ascii="仿宋_GB2312" w:eastAsia="仿宋_GB2312"/>
          <w:sz w:val="32"/>
        </w:rPr>
        <w:t>万元，占</w:t>
      </w:r>
      <w:r>
        <w:rPr>
          <w:rFonts w:hint="eastAsia" w:ascii="仿宋_GB2312" w:eastAsia="仿宋_GB2312"/>
          <w:sz w:val="32"/>
          <w:lang w:val="en-US" w:eastAsia="zh-CN"/>
        </w:rPr>
        <w:t>0</w:t>
      </w:r>
      <w:r>
        <w:rPr>
          <w:rFonts w:hint="eastAsia" w:ascii="仿宋_GB2312" w:eastAsia="仿宋_GB2312"/>
          <w:sz w:val="32"/>
        </w:rPr>
        <w:t>%,公务用车购置费及运行维护费支出决算2</w:t>
      </w:r>
      <w:r>
        <w:rPr>
          <w:rFonts w:hint="eastAsia" w:ascii="仿宋_GB2312" w:eastAsia="仿宋_GB2312"/>
          <w:sz w:val="32"/>
          <w:lang w:val="en-US" w:eastAsia="zh-CN"/>
        </w:rPr>
        <w:t>3.62</w:t>
      </w:r>
      <w:r>
        <w:rPr>
          <w:rFonts w:hint="eastAsia" w:ascii="仿宋_GB2312" w:eastAsia="仿宋_GB2312"/>
          <w:sz w:val="32"/>
        </w:rPr>
        <w:t>万元，占8</w:t>
      </w:r>
      <w:r>
        <w:rPr>
          <w:rFonts w:hint="eastAsia" w:ascii="仿宋_GB2312" w:eastAsia="仿宋_GB2312"/>
          <w:sz w:val="32"/>
          <w:lang w:val="en-US" w:eastAsia="zh-CN"/>
        </w:rPr>
        <w:t>4.3</w:t>
      </w:r>
      <w:r>
        <w:rPr>
          <w:rFonts w:hint="eastAsia" w:ascii="仿宋_GB2312" w:eastAsia="仿宋_GB2312"/>
          <w:sz w:val="32"/>
        </w:rPr>
        <w:t>%。其中：</w:t>
      </w:r>
    </w:p>
    <w:p>
      <w:pPr>
        <w:pStyle w:val="13"/>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eastAsia="仿宋_GB2312"/>
          <w:sz w:val="32"/>
        </w:rPr>
        <w:t>1、因公出国（境）费支出决算为</w:t>
      </w:r>
      <w:r>
        <w:rPr>
          <w:rFonts w:hint="eastAsia" w:ascii="仿宋_GB2312" w:eastAsia="仿宋_GB2312"/>
          <w:sz w:val="32"/>
          <w:lang w:val="en-US" w:eastAsia="zh-CN"/>
        </w:rPr>
        <w:t>0</w:t>
      </w:r>
      <w:r>
        <w:rPr>
          <w:rFonts w:hint="eastAsia" w:ascii="仿宋_GB2312" w:eastAsia="仿宋_GB2312"/>
          <w:sz w:val="32"/>
        </w:rPr>
        <w:t>万元，全年安排因公出国（境）团组</w:t>
      </w:r>
      <w:r>
        <w:rPr>
          <w:rFonts w:hint="eastAsia" w:ascii="仿宋_GB2312" w:eastAsia="仿宋_GB2312"/>
          <w:sz w:val="32"/>
          <w:lang w:val="en-US" w:eastAsia="zh-CN"/>
        </w:rPr>
        <w:t>0</w:t>
      </w:r>
      <w:r>
        <w:rPr>
          <w:rFonts w:hint="eastAsia" w:ascii="仿宋_GB2312" w:eastAsia="仿宋_GB2312"/>
          <w:sz w:val="32"/>
        </w:rPr>
        <w:t>个，累计</w:t>
      </w:r>
      <w:r>
        <w:rPr>
          <w:rFonts w:hint="eastAsia" w:ascii="仿宋_GB2312" w:eastAsia="仿宋_GB2312"/>
          <w:sz w:val="32"/>
          <w:lang w:val="en-US" w:eastAsia="zh-CN"/>
        </w:rPr>
        <w:t>0</w:t>
      </w:r>
      <w:r>
        <w:rPr>
          <w:rFonts w:hint="eastAsia" w:ascii="仿宋_GB2312" w:eastAsia="仿宋_GB2312"/>
          <w:sz w:val="32"/>
        </w:rPr>
        <w:t>人次</w:t>
      </w:r>
      <w:r>
        <w:rPr>
          <w:rFonts w:hint="eastAsia" w:ascii="仿宋_GB2312" w:eastAsia="仿宋_GB2312"/>
          <w:sz w:val="32"/>
          <w:lang w:eastAsia="zh-CN"/>
        </w:rPr>
        <w:t>。</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lang w:val="en-US" w:eastAsia="zh-CN"/>
        </w:rPr>
        <w:t>2、</w:t>
      </w:r>
      <w:r>
        <w:rPr>
          <w:rFonts w:hint="eastAsia" w:ascii="仿宋_GB2312" w:eastAsia="仿宋_GB2312"/>
          <w:sz w:val="32"/>
        </w:rPr>
        <w:t>公务接待费支出决算为</w:t>
      </w:r>
      <w:r>
        <w:rPr>
          <w:rFonts w:hint="eastAsia" w:ascii="仿宋_GB2312" w:eastAsia="仿宋_GB2312"/>
          <w:sz w:val="32"/>
          <w:lang w:val="en-US" w:eastAsia="zh-CN"/>
        </w:rPr>
        <w:t>4.4</w:t>
      </w:r>
      <w:r>
        <w:rPr>
          <w:rFonts w:hint="eastAsia" w:ascii="仿宋_GB2312" w:eastAsia="仿宋_GB2312"/>
          <w:sz w:val="32"/>
        </w:rPr>
        <w:t>万元，全年共接待来访团组</w:t>
      </w:r>
      <w:r>
        <w:rPr>
          <w:rFonts w:hint="eastAsia" w:ascii="仿宋_GB2312" w:eastAsia="仿宋_GB2312"/>
          <w:sz w:val="32"/>
          <w:lang w:val="en-US" w:eastAsia="zh-CN"/>
        </w:rPr>
        <w:t>35</w:t>
      </w:r>
      <w:r>
        <w:rPr>
          <w:rFonts w:hint="eastAsia" w:ascii="仿宋_GB2312" w:eastAsia="仿宋_GB2312"/>
          <w:sz w:val="32"/>
        </w:rPr>
        <w:t>个、来宾</w:t>
      </w:r>
      <w:r>
        <w:rPr>
          <w:rFonts w:hint="eastAsia" w:ascii="仿宋_GB2312" w:eastAsia="仿宋_GB2312"/>
          <w:sz w:val="32"/>
          <w:lang w:val="en-US" w:eastAsia="zh-CN"/>
        </w:rPr>
        <w:t>320</w:t>
      </w:r>
      <w:r>
        <w:rPr>
          <w:rFonts w:hint="eastAsia" w:ascii="仿宋_GB2312" w:eastAsia="仿宋_GB2312"/>
          <w:sz w:val="32"/>
        </w:rPr>
        <w:t>人次</w:t>
      </w:r>
      <w:r>
        <w:rPr>
          <w:rFonts w:hint="eastAsia" w:ascii="仿宋_GB2312" w:eastAsia="仿宋_GB2312"/>
          <w:sz w:val="32"/>
          <w:lang w:eastAsia="zh-CN"/>
        </w:rPr>
        <w:t>，</w:t>
      </w:r>
      <w:r>
        <w:rPr>
          <w:rFonts w:hint="eastAsia" w:ascii="仿宋_GB2312" w:eastAsia="仿宋_GB2312"/>
          <w:sz w:val="32"/>
        </w:rPr>
        <w:t>主要是接待全国各地检察机关和国内相关部门交流工作和协办案件等。</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3、公务用车购置费及运行维护费支出决算为2</w:t>
      </w:r>
      <w:r>
        <w:rPr>
          <w:rFonts w:hint="eastAsia" w:ascii="仿宋_GB2312" w:eastAsia="仿宋_GB2312"/>
          <w:sz w:val="32"/>
          <w:lang w:val="en-US" w:eastAsia="zh-CN"/>
        </w:rPr>
        <w:t>3.62</w:t>
      </w:r>
      <w:r>
        <w:rPr>
          <w:rFonts w:hint="eastAsia" w:ascii="仿宋_GB2312" w:eastAsia="仿宋_GB2312"/>
          <w:sz w:val="32"/>
        </w:rPr>
        <w:t>万元，其中：</w:t>
      </w:r>
      <w:r>
        <w:rPr>
          <w:rFonts w:hint="eastAsia" w:ascii="仿宋_GB2312" w:hAnsi="宋体" w:eastAsia="仿宋_GB2312"/>
          <w:sz w:val="32"/>
        </w:rPr>
        <w:t>公务用车购置费</w:t>
      </w:r>
      <w:r>
        <w:rPr>
          <w:rFonts w:hint="eastAsia" w:ascii="仿宋_GB2312" w:hAnsi="宋体" w:eastAsia="仿宋_GB2312"/>
          <w:sz w:val="32"/>
          <w:lang w:val="en-US" w:eastAsia="zh-CN"/>
        </w:rPr>
        <w:t>0</w:t>
      </w:r>
      <w:r>
        <w:rPr>
          <w:rFonts w:hint="eastAsia" w:ascii="仿宋_GB2312" w:hAnsi="宋体" w:eastAsia="仿宋_GB2312"/>
          <w:sz w:val="32"/>
        </w:rPr>
        <w:t>万元，</w:t>
      </w:r>
      <w:r>
        <w:rPr>
          <w:rFonts w:hint="eastAsia" w:ascii="仿宋_GB2312" w:hAnsi="宋体" w:eastAsia="仿宋_GB2312"/>
          <w:sz w:val="32"/>
          <w:lang w:eastAsia="zh-CN"/>
        </w:rPr>
        <w:t>本单位</w:t>
      </w:r>
      <w:r>
        <w:rPr>
          <w:rFonts w:hint="eastAsia" w:ascii="仿宋_GB2312" w:hAnsi="宋体" w:eastAsia="仿宋_GB2312"/>
          <w:sz w:val="32"/>
        </w:rPr>
        <w:t>更新公务用车</w:t>
      </w:r>
      <w:r>
        <w:rPr>
          <w:rFonts w:hint="eastAsia" w:ascii="仿宋_GB2312" w:hAnsi="宋体" w:eastAsia="仿宋_GB2312"/>
          <w:sz w:val="32"/>
          <w:lang w:val="en-US" w:eastAsia="zh-CN"/>
        </w:rPr>
        <w:t>0</w:t>
      </w:r>
      <w:r>
        <w:rPr>
          <w:rFonts w:hint="eastAsia" w:ascii="仿宋_GB2312" w:hAnsi="宋体" w:eastAsia="仿宋_GB2312"/>
          <w:sz w:val="32"/>
        </w:rPr>
        <w:t>辆。</w:t>
      </w:r>
      <w:r>
        <w:rPr>
          <w:rFonts w:hint="eastAsia" w:ascii="仿宋_GB2312" w:eastAsia="仿宋_GB2312"/>
          <w:sz w:val="32"/>
        </w:rPr>
        <w:t>公务用车运行维护费</w:t>
      </w:r>
      <w:r>
        <w:rPr>
          <w:rFonts w:hint="eastAsia" w:ascii="仿宋_GB2312" w:eastAsia="仿宋_GB2312"/>
          <w:sz w:val="32"/>
          <w:lang w:val="en-US" w:eastAsia="zh-CN"/>
        </w:rPr>
        <w:t>23.62</w:t>
      </w:r>
      <w:r>
        <w:rPr>
          <w:rFonts w:hint="eastAsia" w:ascii="仿宋_GB2312" w:eastAsia="仿宋_GB2312"/>
          <w:sz w:val="32"/>
        </w:rPr>
        <w:t>万元，主要是用于</w:t>
      </w:r>
      <w:r>
        <w:rPr>
          <w:rFonts w:hint="eastAsia" w:ascii="仿宋_GB2312" w:eastAsia="仿宋_GB2312"/>
          <w:sz w:val="32"/>
          <w:lang w:eastAsia="zh-CN"/>
        </w:rPr>
        <w:t>机要通信、执法执勤和侦察办案等所需公务车辆的</w:t>
      </w:r>
      <w:r>
        <w:rPr>
          <w:rFonts w:hint="eastAsia" w:ascii="仿宋_GB2312" w:eastAsia="仿宋_GB2312"/>
          <w:sz w:val="32"/>
        </w:rPr>
        <w:t>燃料费、维修费、过路过桥费和保险费等支出，截止202</w:t>
      </w:r>
      <w:r>
        <w:rPr>
          <w:rFonts w:hint="eastAsia" w:ascii="仿宋_GB2312" w:eastAsia="仿宋_GB2312"/>
          <w:sz w:val="32"/>
          <w:lang w:val="en-US" w:eastAsia="zh-CN"/>
        </w:rPr>
        <w:t>1</w:t>
      </w:r>
      <w:r>
        <w:rPr>
          <w:rFonts w:hint="eastAsia" w:ascii="仿宋_GB2312" w:eastAsia="仿宋_GB2312"/>
          <w:sz w:val="32"/>
        </w:rPr>
        <w:t>年12月31日，我单位</w:t>
      </w:r>
      <w:r>
        <w:rPr>
          <w:rFonts w:hint="eastAsia" w:ascii="仿宋_GB2312" w:eastAsia="仿宋_GB2312"/>
          <w:sz w:val="32"/>
          <w:lang w:eastAsia="zh-CN"/>
        </w:rPr>
        <w:t>开支</w:t>
      </w:r>
      <w:r>
        <w:rPr>
          <w:rFonts w:hint="eastAsia" w:ascii="仿宋_GB2312" w:eastAsia="仿宋_GB2312"/>
          <w:sz w:val="32"/>
        </w:rPr>
        <w:t>财政拨款的公务用车保有量为7辆。</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bookmarkStart w:id="29" w:name="_Toc5526"/>
      <w:bookmarkStart w:id="30" w:name="_Toc25792"/>
      <w:r>
        <w:rPr>
          <w:rStyle w:val="16"/>
          <w:rFonts w:hint="eastAsia" w:ascii="楷体_GB2312" w:hAnsi="楷体" w:eastAsia="楷体_GB2312" w:cs="楷体"/>
          <w:b w:val="0"/>
          <w:sz w:val="32"/>
          <w:szCs w:val="32"/>
          <w:shd w:val="clear" w:color="auto" w:fill="FFFFFF"/>
        </w:rPr>
        <w:t>八、政府性基金预算收入支出决算情况</w:t>
      </w:r>
      <w:bookmarkEnd w:id="29"/>
      <w:bookmarkEnd w:id="30"/>
    </w:p>
    <w:p>
      <w:pPr>
        <w:pStyle w:val="13"/>
        <w:spacing w:before="0" w:beforeAutospacing="0" w:after="0" w:afterAutospacing="0" w:line="560" w:lineRule="exact"/>
        <w:ind w:firstLine="640" w:firstLineChars="200"/>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2021年度本单位无政府性基金收支。</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bookmarkStart w:id="31" w:name="_Toc5899"/>
      <w:bookmarkStart w:id="32" w:name="_Toc7846"/>
      <w:r>
        <w:rPr>
          <w:rStyle w:val="16"/>
          <w:rFonts w:hint="eastAsia" w:ascii="楷体_GB2312" w:hAnsi="楷体" w:eastAsia="楷体_GB2312" w:cs="楷体"/>
          <w:b w:val="0"/>
          <w:sz w:val="32"/>
          <w:szCs w:val="32"/>
          <w:shd w:val="clear" w:color="auto" w:fill="FFFFFF"/>
        </w:rPr>
        <w:t>九、关于机关运行经费支出说明</w:t>
      </w:r>
    </w:p>
    <w:p>
      <w:pPr>
        <w:pStyle w:val="13"/>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eastAsia="仿宋_GB2312"/>
          <w:sz w:val="32"/>
        </w:rPr>
        <w:t>本单位202</w:t>
      </w:r>
      <w:r>
        <w:rPr>
          <w:rFonts w:hint="eastAsia" w:ascii="仿宋_GB2312" w:eastAsia="仿宋_GB2312"/>
          <w:sz w:val="32"/>
          <w:lang w:val="en-US" w:eastAsia="zh-CN"/>
        </w:rPr>
        <w:t>1</w:t>
      </w:r>
      <w:r>
        <w:rPr>
          <w:rFonts w:hint="eastAsia" w:ascii="仿宋_GB2312" w:eastAsia="仿宋_GB2312"/>
          <w:sz w:val="32"/>
        </w:rPr>
        <w:t>年度机关运行经费支出46</w:t>
      </w:r>
      <w:r>
        <w:rPr>
          <w:rFonts w:hint="eastAsia" w:ascii="仿宋_GB2312" w:eastAsia="仿宋_GB2312"/>
          <w:sz w:val="32"/>
          <w:lang w:val="en-US" w:eastAsia="zh-CN"/>
        </w:rPr>
        <w:t>9.71</w:t>
      </w:r>
      <w:r>
        <w:rPr>
          <w:rFonts w:hint="eastAsia" w:ascii="仿宋_GB2312" w:eastAsia="仿宋_GB2312"/>
          <w:sz w:val="32"/>
        </w:rPr>
        <w:t>万元，比20</w:t>
      </w:r>
      <w:r>
        <w:rPr>
          <w:rFonts w:hint="eastAsia" w:ascii="仿宋_GB2312" w:eastAsia="仿宋_GB2312"/>
          <w:sz w:val="32"/>
          <w:lang w:val="en-US" w:eastAsia="zh-CN"/>
        </w:rPr>
        <w:t>20</w:t>
      </w:r>
      <w:r>
        <w:rPr>
          <w:rFonts w:hint="eastAsia" w:ascii="仿宋_GB2312" w:eastAsia="仿宋_GB2312"/>
          <w:sz w:val="32"/>
        </w:rPr>
        <w:t>年</w:t>
      </w:r>
      <w:r>
        <w:rPr>
          <w:rFonts w:hint="eastAsia" w:ascii="仿宋_GB2312" w:eastAsia="仿宋_GB2312"/>
          <w:sz w:val="32"/>
          <w:lang w:eastAsia="zh-CN"/>
        </w:rPr>
        <w:t>增加</w:t>
      </w:r>
      <w:r>
        <w:rPr>
          <w:rFonts w:hint="eastAsia" w:ascii="仿宋_GB2312" w:eastAsia="仿宋_GB2312"/>
          <w:sz w:val="32"/>
          <w:lang w:val="en-US" w:eastAsia="zh-CN"/>
        </w:rPr>
        <w:t>1.67</w:t>
      </w:r>
      <w:r>
        <w:rPr>
          <w:rFonts w:hint="eastAsia" w:ascii="仿宋_GB2312" w:eastAsia="仿宋_GB2312"/>
          <w:sz w:val="32"/>
        </w:rPr>
        <w:t>万元，</w:t>
      </w:r>
      <w:r>
        <w:rPr>
          <w:rFonts w:hint="eastAsia" w:ascii="仿宋_GB2312" w:eastAsia="仿宋_GB2312"/>
          <w:sz w:val="32"/>
          <w:lang w:eastAsia="zh-CN"/>
        </w:rPr>
        <w:t>增加</w:t>
      </w:r>
      <w:r>
        <w:rPr>
          <w:rFonts w:hint="eastAsia" w:ascii="仿宋_GB2312" w:eastAsia="仿宋_GB2312"/>
          <w:sz w:val="32"/>
          <w:lang w:val="en-US" w:eastAsia="zh-CN"/>
        </w:rPr>
        <w:t>0.36</w:t>
      </w:r>
      <w:r>
        <w:rPr>
          <w:rFonts w:hint="eastAsia" w:ascii="仿宋_GB2312" w:eastAsia="仿宋_GB2312"/>
          <w:sz w:val="32"/>
        </w:rPr>
        <w:t>%。主要原因是：</w:t>
      </w:r>
      <w:r>
        <w:rPr>
          <w:rFonts w:hint="eastAsia" w:ascii="仿宋_GB2312" w:eastAsia="仿宋_GB2312"/>
          <w:sz w:val="32"/>
          <w:lang w:eastAsia="zh-CN"/>
        </w:rPr>
        <w:t>日常办公、办案经费有所增加。</w:t>
      </w:r>
    </w:p>
    <w:p>
      <w:pPr>
        <w:pStyle w:val="13"/>
        <w:spacing w:before="0" w:beforeAutospacing="0" w:after="0" w:afterAutospacing="0" w:line="560" w:lineRule="exact"/>
        <w:ind w:firstLine="640" w:firstLineChars="200"/>
        <w:rPr>
          <w:rFonts w:hint="eastAsia" w:ascii="仿宋_GB2312" w:eastAsia="楷体_GB2312"/>
          <w:color w:val="FF0000"/>
          <w:sz w:val="32"/>
          <w:highlight w:val="yellow"/>
          <w:lang w:eastAsia="zh-CN"/>
        </w:rPr>
      </w:pPr>
      <w:r>
        <w:rPr>
          <w:rStyle w:val="16"/>
          <w:rFonts w:hint="eastAsia" w:ascii="楷体_GB2312" w:hAnsi="楷体" w:eastAsia="楷体_GB2312" w:cs="楷体"/>
          <w:b w:val="0"/>
          <w:sz w:val="32"/>
          <w:szCs w:val="32"/>
          <w:shd w:val="clear" w:color="auto" w:fill="FFFFFF"/>
        </w:rPr>
        <w:t>十、一般性支出情况</w:t>
      </w:r>
      <w:r>
        <w:rPr>
          <w:rStyle w:val="16"/>
          <w:rFonts w:hint="eastAsia" w:ascii="楷体_GB2312" w:hAnsi="楷体" w:eastAsia="楷体_GB2312" w:cs="楷体"/>
          <w:b w:val="0"/>
          <w:sz w:val="32"/>
          <w:szCs w:val="32"/>
          <w:shd w:val="clear" w:color="auto" w:fill="FFFFFF"/>
          <w:lang w:eastAsia="zh-CN"/>
        </w:rPr>
        <w:t>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eastAsia="仿宋_GB2312"/>
          <w:sz w:val="32"/>
        </w:rPr>
        <w:t>202</w:t>
      </w:r>
      <w:r>
        <w:rPr>
          <w:rFonts w:hint="eastAsia" w:ascii="仿宋_GB2312" w:eastAsia="仿宋_GB2312"/>
          <w:sz w:val="32"/>
          <w:lang w:val="en-US" w:eastAsia="zh-CN"/>
        </w:rPr>
        <w:t>1</w:t>
      </w:r>
      <w:r>
        <w:rPr>
          <w:rFonts w:hint="eastAsia" w:ascii="仿宋_GB2312" w:eastAsia="仿宋_GB2312"/>
          <w:sz w:val="32"/>
        </w:rPr>
        <w:t>年</w:t>
      </w:r>
      <w:r>
        <w:rPr>
          <w:rFonts w:hint="eastAsia" w:ascii="仿宋_GB2312" w:eastAsia="仿宋_GB2312"/>
          <w:sz w:val="32"/>
          <w:lang w:eastAsia="zh-CN"/>
        </w:rPr>
        <w:t>度</w:t>
      </w:r>
      <w:r>
        <w:rPr>
          <w:rFonts w:hint="eastAsia" w:ascii="仿宋_GB2312" w:eastAsia="仿宋_GB2312"/>
          <w:sz w:val="32"/>
        </w:rPr>
        <w:t>本单位</w:t>
      </w:r>
      <w:r>
        <w:rPr>
          <w:rFonts w:hint="eastAsia" w:ascii="仿宋_GB2312" w:eastAsia="仿宋_GB2312"/>
          <w:sz w:val="32"/>
          <w:lang w:eastAsia="zh-CN"/>
        </w:rPr>
        <w:t>无</w:t>
      </w:r>
      <w:r>
        <w:rPr>
          <w:rFonts w:hint="eastAsia" w:ascii="仿宋_GB2312" w:eastAsia="仿宋_GB2312"/>
          <w:sz w:val="32"/>
        </w:rPr>
        <w:t>会议费和培训费开支</w:t>
      </w:r>
      <w:r>
        <w:rPr>
          <w:rFonts w:hint="eastAsia" w:ascii="仿宋_GB2312" w:eastAsia="仿宋_GB2312"/>
          <w:sz w:val="32"/>
          <w:lang w:eastAsia="zh-CN"/>
        </w:rPr>
        <w:t>，没有</w:t>
      </w:r>
      <w:r>
        <w:rPr>
          <w:rFonts w:hint="eastAsia" w:ascii="仿宋_GB2312" w:eastAsia="仿宋_GB2312"/>
          <w:sz w:val="32"/>
        </w:rPr>
        <w:t>举办</w:t>
      </w:r>
      <w:r>
        <w:rPr>
          <w:rFonts w:hint="eastAsia" w:ascii="仿宋_GB2312" w:eastAsia="仿宋_GB2312"/>
          <w:sz w:val="32"/>
          <w:lang w:eastAsia="zh-CN"/>
        </w:rPr>
        <w:t>各类</w:t>
      </w:r>
      <w:r>
        <w:rPr>
          <w:rFonts w:hint="eastAsia" w:ascii="仿宋_GB2312" w:eastAsia="仿宋_GB2312"/>
          <w:sz w:val="32"/>
        </w:rPr>
        <w:t>节庆、晚会、论坛、赛事</w:t>
      </w:r>
      <w:r>
        <w:rPr>
          <w:rFonts w:hint="eastAsia" w:ascii="仿宋_GB2312" w:eastAsia="仿宋_GB2312"/>
          <w:sz w:val="32"/>
          <w:lang w:eastAsia="zh-CN"/>
        </w:rPr>
        <w:t>等</w:t>
      </w:r>
      <w:r>
        <w:rPr>
          <w:rFonts w:hint="eastAsia" w:ascii="仿宋_GB2312" w:eastAsia="仿宋_GB2312"/>
          <w:sz w:val="32"/>
        </w:rPr>
        <w:t>活动</w:t>
      </w:r>
      <w:r>
        <w:rPr>
          <w:rFonts w:hint="eastAsia" w:ascii="仿宋_GB2312" w:eastAsia="仿宋_GB2312"/>
          <w:sz w:val="32"/>
          <w:lang w:eastAsia="zh-CN"/>
        </w:rPr>
        <w:t>。</w:t>
      </w:r>
    </w:p>
    <w:p>
      <w:pPr>
        <w:pStyle w:val="13"/>
        <w:spacing w:before="0" w:beforeAutospacing="0" w:after="0" w:afterAutospacing="0" w:line="560" w:lineRule="exact"/>
        <w:ind w:firstLine="640" w:firstLineChars="200"/>
        <w:rPr>
          <w:rStyle w:val="16"/>
          <w:rFonts w:ascii="楷体_GB2312" w:hAnsi="楷体" w:eastAsia="楷体_GB2312" w:cs="楷体"/>
          <w:b w:val="0"/>
          <w:color w:val="FF0000"/>
          <w:shd w:val="clear" w:color="auto" w:fill="FFFFFF"/>
        </w:rPr>
      </w:pPr>
      <w:r>
        <w:rPr>
          <w:rStyle w:val="16"/>
          <w:rFonts w:hint="eastAsia" w:ascii="楷体_GB2312" w:hAnsi="楷体" w:eastAsia="楷体_GB2312" w:cs="楷体"/>
          <w:b w:val="0"/>
          <w:sz w:val="32"/>
          <w:szCs w:val="32"/>
          <w:shd w:val="clear" w:color="auto" w:fill="FFFFFF"/>
        </w:rPr>
        <w:t>十一、政府采购支出说明</w:t>
      </w:r>
    </w:p>
    <w:p>
      <w:pPr>
        <w:pStyle w:val="13"/>
        <w:spacing w:before="0" w:beforeAutospacing="0" w:after="0" w:afterAutospacing="0" w:line="560" w:lineRule="exact"/>
        <w:ind w:firstLine="640" w:firstLineChars="200"/>
        <w:rPr>
          <w:rFonts w:ascii="仿宋_GB2312" w:eastAsia="仿宋_GB2312"/>
          <w:sz w:val="32"/>
        </w:rPr>
      </w:pPr>
      <w:r>
        <w:rPr>
          <w:rFonts w:hint="eastAsia" w:ascii="仿宋_GB2312" w:hAnsi="宋体" w:eastAsia="仿宋_GB2312"/>
          <w:sz w:val="32"/>
          <w:lang w:val="en-US" w:eastAsia="zh-CN"/>
        </w:rPr>
        <w:t>本单位2021年度政府采购支出总额241.01万元，其中：政府采购货物支出187.03万元、政府采购工程支出0万元、政府采购服务支出53.98万元，授予中小企业合同金额</w:t>
      </w:r>
      <w:r>
        <w:rPr>
          <w:rFonts w:hint="eastAsia" w:ascii="仿宋_GB2312" w:eastAsia="仿宋_GB2312"/>
          <w:sz w:val="32"/>
          <w:lang w:val="en-US" w:eastAsia="zh-CN"/>
        </w:rPr>
        <w:t>0</w:t>
      </w:r>
      <w:r>
        <w:rPr>
          <w:rFonts w:hint="eastAsia" w:ascii="仿宋_GB2312" w:hAnsi="宋体" w:eastAsia="仿宋_GB2312"/>
          <w:sz w:val="32"/>
          <w:lang w:val="en-US" w:eastAsia="zh-CN"/>
        </w:rPr>
        <w:t>万元，占政府采购支出总额的</w:t>
      </w:r>
      <w:r>
        <w:rPr>
          <w:rFonts w:hint="eastAsia" w:ascii="仿宋_GB2312" w:eastAsia="仿宋_GB2312"/>
          <w:sz w:val="32"/>
          <w:lang w:val="en-US" w:eastAsia="zh-CN"/>
        </w:rPr>
        <w:t>0</w:t>
      </w:r>
      <w:r>
        <w:rPr>
          <w:rFonts w:hint="eastAsia" w:ascii="仿宋_GB2312" w:hAnsi="宋体" w:eastAsia="仿宋_GB2312"/>
          <w:sz w:val="32"/>
          <w:lang w:val="en-US" w:eastAsia="zh-CN"/>
        </w:rPr>
        <w:t>%，其中：授予小微企业合同金额</w:t>
      </w:r>
      <w:r>
        <w:rPr>
          <w:rFonts w:hint="eastAsia" w:ascii="仿宋_GB2312" w:eastAsia="仿宋_GB2312"/>
          <w:sz w:val="32"/>
          <w:lang w:val="en-US" w:eastAsia="zh-CN"/>
        </w:rPr>
        <w:t>0</w:t>
      </w:r>
      <w:r>
        <w:rPr>
          <w:rFonts w:hint="eastAsia" w:ascii="仿宋_GB2312" w:hAnsi="宋体" w:eastAsia="仿宋_GB2312"/>
          <w:sz w:val="32"/>
          <w:lang w:val="en-US" w:eastAsia="zh-CN"/>
        </w:rPr>
        <w:t>万元，占授予中小企业合同金额的</w:t>
      </w:r>
      <w:r>
        <w:rPr>
          <w:rFonts w:hint="eastAsia" w:ascii="仿宋_GB2312" w:eastAsia="仿宋_GB2312"/>
          <w:sz w:val="32"/>
          <w:lang w:val="en-US" w:eastAsia="zh-CN"/>
        </w:rPr>
        <w:t>0</w:t>
      </w:r>
      <w:r>
        <w:rPr>
          <w:rFonts w:hint="eastAsia" w:ascii="仿宋_GB2312" w:hAnsi="宋体" w:eastAsia="仿宋_GB2312"/>
          <w:sz w:val="32"/>
          <w:lang w:val="en-US" w:eastAsia="zh-CN"/>
        </w:rPr>
        <w:t>%</w:t>
      </w:r>
      <w:r>
        <w:rPr>
          <w:rFonts w:hint="eastAsia" w:ascii="仿宋_GB2312" w:eastAsia="仿宋_GB2312"/>
          <w:sz w:val="32"/>
          <w:lang w:val="en-US" w:eastAsia="zh-CN"/>
        </w:rPr>
        <w:t>。</w:t>
      </w:r>
      <w:r>
        <w:rPr>
          <w:rFonts w:hint="eastAsia" w:ascii="仿宋_GB2312" w:eastAsia="仿宋_GB2312"/>
          <w:sz w:val="32"/>
        </w:rPr>
        <w:t>（政府采购金额的计算口径为：本单位纳入202</w:t>
      </w:r>
      <w:r>
        <w:rPr>
          <w:rFonts w:hint="eastAsia" w:ascii="仿宋_GB2312" w:eastAsia="仿宋_GB2312"/>
          <w:sz w:val="32"/>
          <w:lang w:val="en-US" w:eastAsia="zh-CN"/>
        </w:rPr>
        <w:t>1</w:t>
      </w:r>
      <w:r>
        <w:rPr>
          <w:rFonts w:hint="eastAsia" w:ascii="仿宋_GB2312" w:eastAsia="仿宋_GB2312"/>
          <w:sz w:val="32"/>
        </w:rPr>
        <w:t>年度部门预算范围的各项政府采购支出金额之和，不包括涉密采购项目的支出金额）</w:t>
      </w:r>
    </w:p>
    <w:p>
      <w:pPr>
        <w:pStyle w:val="13"/>
        <w:spacing w:before="0" w:beforeAutospacing="0" w:after="0" w:afterAutospacing="0" w:line="560" w:lineRule="exact"/>
        <w:ind w:firstLine="640" w:firstLineChars="200"/>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十二、国有资产占用情况说明</w:t>
      </w:r>
    </w:p>
    <w:p>
      <w:pPr>
        <w:pStyle w:val="13"/>
        <w:spacing w:before="0" w:beforeAutospacing="0" w:after="0" w:afterAutospacing="0" w:line="560" w:lineRule="exact"/>
        <w:ind w:firstLine="640" w:firstLineChars="200"/>
        <w:rPr>
          <w:rFonts w:ascii="仿宋_GB2312" w:eastAsia="仿宋_GB2312"/>
          <w:sz w:val="32"/>
        </w:rPr>
      </w:pPr>
      <w:r>
        <w:rPr>
          <w:rFonts w:ascii="仿宋_GB2312" w:eastAsia="仿宋_GB2312"/>
          <w:sz w:val="32"/>
        </w:rPr>
        <w:t>截至20</w:t>
      </w:r>
      <w:r>
        <w:rPr>
          <w:rFonts w:hint="eastAsia" w:ascii="仿宋_GB2312" w:eastAsia="仿宋_GB2312"/>
          <w:sz w:val="32"/>
        </w:rPr>
        <w:t>2</w:t>
      </w:r>
      <w:r>
        <w:rPr>
          <w:rFonts w:hint="eastAsia" w:ascii="仿宋_GB2312" w:eastAsia="仿宋_GB2312"/>
          <w:sz w:val="32"/>
          <w:lang w:val="en-US" w:eastAsia="zh-CN"/>
        </w:rPr>
        <w:t>1</w:t>
      </w:r>
      <w:r>
        <w:rPr>
          <w:rFonts w:ascii="仿宋_GB2312" w:eastAsia="仿宋_GB2312"/>
          <w:sz w:val="32"/>
        </w:rPr>
        <w:t>年12月31日，</w:t>
      </w:r>
      <w:r>
        <w:rPr>
          <w:rFonts w:hint="eastAsia" w:ascii="仿宋_GB2312" w:eastAsia="仿宋_GB2312"/>
          <w:sz w:val="32"/>
        </w:rPr>
        <w:t>本单位</w:t>
      </w:r>
      <w:r>
        <w:rPr>
          <w:rFonts w:ascii="仿宋_GB2312" w:eastAsia="仿宋_GB2312"/>
          <w:sz w:val="32"/>
        </w:rPr>
        <w:t>共有车辆</w:t>
      </w:r>
      <w:r>
        <w:rPr>
          <w:rFonts w:hint="eastAsia" w:ascii="仿宋_GB2312" w:eastAsia="仿宋_GB2312"/>
          <w:sz w:val="32"/>
        </w:rPr>
        <w:t>7</w:t>
      </w:r>
      <w:r>
        <w:rPr>
          <w:rFonts w:ascii="仿宋_GB2312" w:eastAsia="仿宋_GB2312"/>
          <w:sz w:val="32"/>
        </w:rPr>
        <w:t>辆，</w:t>
      </w:r>
      <w:r>
        <w:rPr>
          <w:rFonts w:hint="eastAsia" w:ascii="仿宋_GB2312" w:eastAsia="仿宋_GB2312"/>
          <w:sz w:val="32"/>
        </w:rPr>
        <w:t>其中，主要领导干部用车</w:t>
      </w:r>
      <w:r>
        <w:rPr>
          <w:rFonts w:hint="eastAsia" w:ascii="仿宋_GB2312" w:eastAsia="仿宋_GB2312"/>
          <w:sz w:val="32"/>
          <w:lang w:val="en-US" w:eastAsia="zh-CN"/>
        </w:rPr>
        <w:t>0</w:t>
      </w:r>
      <w:r>
        <w:rPr>
          <w:rFonts w:hint="eastAsia" w:ascii="仿宋_GB2312" w:eastAsia="仿宋_GB2312"/>
          <w:sz w:val="32"/>
        </w:rPr>
        <w:t>辆，机要通信用车</w:t>
      </w:r>
      <w:r>
        <w:rPr>
          <w:rFonts w:hint="eastAsia" w:ascii="仿宋_GB2312" w:eastAsia="仿宋_GB2312"/>
          <w:sz w:val="32"/>
          <w:lang w:val="en-US" w:eastAsia="zh-CN"/>
        </w:rPr>
        <w:t>0</w:t>
      </w:r>
      <w:r>
        <w:rPr>
          <w:rFonts w:hint="eastAsia" w:ascii="仿宋_GB2312" w:eastAsia="仿宋_GB2312"/>
          <w:sz w:val="32"/>
        </w:rPr>
        <w:t>辆、应急保障用车</w:t>
      </w:r>
      <w:r>
        <w:rPr>
          <w:rFonts w:hint="eastAsia" w:ascii="仿宋_GB2312" w:eastAsia="仿宋_GB2312"/>
          <w:sz w:val="32"/>
          <w:lang w:val="en-US" w:eastAsia="zh-CN"/>
        </w:rPr>
        <w:t>0</w:t>
      </w:r>
      <w:r>
        <w:rPr>
          <w:rFonts w:hint="eastAsia" w:ascii="仿宋_GB2312" w:eastAsia="仿宋_GB2312"/>
          <w:sz w:val="32"/>
        </w:rPr>
        <w:t>辆、执法执勤用车</w:t>
      </w:r>
      <w:r>
        <w:rPr>
          <w:rFonts w:hint="eastAsia" w:ascii="仿宋_GB2312" w:eastAsia="仿宋_GB2312"/>
          <w:sz w:val="32"/>
          <w:lang w:val="en-US" w:eastAsia="zh-CN"/>
        </w:rPr>
        <w:t>7</w:t>
      </w:r>
      <w:r>
        <w:rPr>
          <w:rFonts w:hint="eastAsia" w:ascii="仿宋_GB2312" w:eastAsia="仿宋_GB2312"/>
          <w:sz w:val="32"/>
        </w:rPr>
        <w:t>辆、特种专业技术用车</w:t>
      </w:r>
      <w:r>
        <w:rPr>
          <w:rFonts w:hint="eastAsia" w:ascii="仿宋_GB2312" w:eastAsia="仿宋_GB2312"/>
          <w:sz w:val="32"/>
          <w:lang w:val="en-US" w:eastAsia="zh-CN"/>
        </w:rPr>
        <w:t>0</w:t>
      </w:r>
      <w:r>
        <w:rPr>
          <w:rFonts w:hint="eastAsia" w:ascii="仿宋_GB2312" w:eastAsia="仿宋_GB2312"/>
          <w:sz w:val="32"/>
        </w:rPr>
        <w:t>辆、其他用车</w:t>
      </w:r>
      <w:r>
        <w:rPr>
          <w:rFonts w:hint="eastAsia" w:ascii="仿宋_GB2312" w:eastAsia="仿宋_GB2312"/>
          <w:sz w:val="32"/>
          <w:lang w:val="en-US" w:eastAsia="zh-CN"/>
        </w:rPr>
        <w:t>0</w:t>
      </w:r>
      <w:r>
        <w:rPr>
          <w:rFonts w:hint="eastAsia" w:ascii="仿宋_GB2312" w:eastAsia="仿宋_GB2312"/>
          <w:sz w:val="32"/>
        </w:rPr>
        <w:t>辆；单位价值50万元以上通用设备</w:t>
      </w:r>
      <w:r>
        <w:rPr>
          <w:rFonts w:hint="eastAsia" w:ascii="仿宋_GB2312" w:eastAsia="仿宋_GB2312"/>
          <w:sz w:val="32"/>
          <w:lang w:val="en-US" w:eastAsia="zh-CN"/>
        </w:rPr>
        <w:t>0</w:t>
      </w:r>
      <w:r>
        <w:rPr>
          <w:rFonts w:hint="eastAsia" w:ascii="仿宋_GB2312" w:eastAsia="仿宋_GB2312"/>
          <w:sz w:val="32"/>
        </w:rPr>
        <w:t>台（套）；单位价值100万元以上专用设备</w:t>
      </w:r>
      <w:r>
        <w:rPr>
          <w:rFonts w:hint="eastAsia" w:ascii="仿宋_GB2312" w:eastAsia="仿宋_GB2312"/>
          <w:sz w:val="32"/>
          <w:lang w:val="en-US" w:eastAsia="zh-CN"/>
        </w:rPr>
        <w:t>0</w:t>
      </w:r>
      <w:r>
        <w:rPr>
          <w:rFonts w:hint="eastAsia" w:ascii="仿宋_GB2312" w:eastAsia="仿宋_GB2312"/>
          <w:sz w:val="32"/>
        </w:rPr>
        <w:t>台（套）。</w:t>
      </w:r>
    </w:p>
    <w:p>
      <w:pPr>
        <w:pStyle w:val="13"/>
        <w:spacing w:before="0" w:beforeAutospacing="0" w:after="0" w:afterAutospacing="0" w:line="560" w:lineRule="exact"/>
        <w:ind w:firstLine="640" w:firstLineChars="200"/>
        <w:outlineLvl w:val="1"/>
        <w:rPr>
          <w:rStyle w:val="16"/>
          <w:rFonts w:ascii="楷体_GB2312" w:hAnsi="楷体" w:eastAsia="楷体_GB2312" w:cs="楷体"/>
          <w:b w:val="0"/>
          <w:sz w:val="32"/>
          <w:szCs w:val="32"/>
          <w:shd w:val="clear" w:color="auto" w:fill="FFFFFF"/>
        </w:rPr>
      </w:pPr>
      <w:r>
        <w:rPr>
          <w:rStyle w:val="16"/>
          <w:rFonts w:hint="eastAsia" w:ascii="楷体_GB2312" w:hAnsi="楷体" w:eastAsia="楷体_GB2312" w:cs="楷体"/>
          <w:b w:val="0"/>
          <w:sz w:val="32"/>
          <w:szCs w:val="32"/>
          <w:shd w:val="clear" w:color="auto" w:fill="FFFFFF"/>
        </w:rPr>
        <w:t>十三、202</w:t>
      </w:r>
      <w:r>
        <w:rPr>
          <w:rStyle w:val="16"/>
          <w:rFonts w:hint="eastAsia" w:ascii="楷体_GB2312" w:hAnsi="楷体" w:eastAsia="楷体_GB2312" w:cs="楷体"/>
          <w:b w:val="0"/>
          <w:sz w:val="32"/>
          <w:szCs w:val="32"/>
          <w:shd w:val="clear" w:color="auto" w:fill="FFFFFF"/>
          <w:lang w:val="en-US" w:eastAsia="zh-CN"/>
        </w:rPr>
        <w:t>1</w:t>
      </w:r>
      <w:r>
        <w:rPr>
          <w:rStyle w:val="16"/>
          <w:rFonts w:hint="eastAsia" w:ascii="楷体_GB2312" w:hAnsi="楷体" w:eastAsia="楷体_GB2312" w:cs="楷体"/>
          <w:b w:val="0"/>
          <w:sz w:val="32"/>
          <w:szCs w:val="32"/>
          <w:shd w:val="clear" w:color="auto" w:fill="FFFFFF"/>
        </w:rPr>
        <w:t>年度预算绩效情况说明</w:t>
      </w:r>
      <w:bookmarkEnd w:id="31"/>
      <w:bookmarkEnd w:id="32"/>
    </w:p>
    <w:p>
      <w:pPr>
        <w:pStyle w:val="13"/>
        <w:spacing w:before="0" w:beforeAutospacing="0" w:after="0" w:afterAutospacing="0" w:line="560" w:lineRule="exact"/>
        <w:ind w:firstLine="640" w:firstLineChars="200"/>
        <w:rPr>
          <w:rStyle w:val="16"/>
          <w:rFonts w:hint="eastAsia" w:ascii="楷体_GB2312" w:hAnsi="楷体" w:eastAsia="楷体_GB2312" w:cs="楷体"/>
          <w:b w:val="0"/>
          <w:sz w:val="32"/>
          <w:szCs w:val="32"/>
          <w:shd w:val="clear" w:color="auto" w:fill="FFFFFF"/>
          <w:lang w:eastAsia="zh-CN"/>
        </w:rPr>
      </w:pPr>
      <w:r>
        <w:rPr>
          <w:rStyle w:val="16"/>
          <w:rFonts w:hint="eastAsia" w:ascii="楷体_GB2312" w:hAnsi="楷体" w:eastAsia="楷体_GB2312" w:cs="楷体"/>
          <w:b w:val="0"/>
          <w:sz w:val="32"/>
          <w:szCs w:val="32"/>
          <w:shd w:val="clear" w:color="auto" w:fill="FFFFFF"/>
          <w:lang w:eastAsia="zh-CN"/>
        </w:rPr>
        <w:t>（</w:t>
      </w:r>
      <w:r>
        <w:rPr>
          <w:rStyle w:val="16"/>
          <w:rFonts w:hint="eastAsia" w:ascii="楷体_GB2312" w:hAnsi="楷体" w:eastAsia="楷体_GB2312" w:cs="楷体"/>
          <w:b w:val="0"/>
          <w:sz w:val="32"/>
          <w:szCs w:val="32"/>
          <w:shd w:val="clear" w:color="auto" w:fill="FFFFFF"/>
          <w:lang w:val="en-US" w:eastAsia="zh-CN"/>
        </w:rPr>
        <w:t>1</w:t>
      </w:r>
      <w:r>
        <w:rPr>
          <w:rStyle w:val="16"/>
          <w:rFonts w:hint="eastAsia" w:ascii="楷体_GB2312" w:hAnsi="楷体" w:eastAsia="楷体_GB2312" w:cs="楷体"/>
          <w:b w:val="0"/>
          <w:sz w:val="32"/>
          <w:szCs w:val="32"/>
          <w:shd w:val="clear" w:color="auto" w:fill="FFFFFF"/>
          <w:lang w:eastAsia="zh-CN"/>
        </w:rPr>
        <w:t>）绩效管理评价工作开展情况。</w:t>
      </w:r>
    </w:p>
    <w:p>
      <w:pPr>
        <w:pStyle w:val="13"/>
        <w:spacing w:before="0" w:beforeAutospacing="0" w:after="0" w:afterAutospacing="0" w:line="560" w:lineRule="exact"/>
        <w:ind w:firstLine="640" w:firstLineChars="200"/>
        <w:rPr>
          <w:rFonts w:hint="eastAsia" w:ascii="仿宋_GB2312" w:hAnsi="宋体" w:eastAsia="仿宋_GB2312"/>
          <w:sz w:val="32"/>
        </w:rPr>
      </w:pPr>
      <w:bookmarkStart w:id="33" w:name="_Toc6935"/>
      <w:bookmarkEnd w:id="33"/>
      <w:r>
        <w:rPr>
          <w:rFonts w:hint="eastAsia" w:ascii="仿宋_GB2312" w:hAnsi="宋体" w:eastAsia="仿宋_GB2312"/>
          <w:sz w:val="32"/>
        </w:rPr>
        <w:t>根据预算绩效管理要求，我</w:t>
      </w:r>
      <w:r>
        <w:rPr>
          <w:rFonts w:hint="eastAsia" w:ascii="仿宋_GB2312" w:eastAsia="仿宋_GB2312"/>
          <w:sz w:val="32"/>
          <w:lang w:eastAsia="zh-CN"/>
        </w:rPr>
        <w:t>单位</w:t>
      </w:r>
      <w:r>
        <w:rPr>
          <w:rFonts w:hint="eastAsia" w:ascii="仿宋_GB2312" w:hAnsi="宋体" w:eastAsia="仿宋_GB2312"/>
          <w:sz w:val="32"/>
        </w:rPr>
        <w:t>组织对</w:t>
      </w:r>
      <w:r>
        <w:rPr>
          <w:rFonts w:ascii="仿宋_GB2312" w:hAnsi="宋体" w:eastAsia="仿宋_GB2312"/>
          <w:sz w:val="32"/>
        </w:rPr>
        <w:t xml:space="preserve">2021 </w:t>
      </w:r>
      <w:r>
        <w:rPr>
          <w:rFonts w:hint="eastAsia" w:ascii="仿宋_GB2312" w:hAnsi="宋体" w:eastAsia="仿宋_GB2312"/>
          <w:sz w:val="32"/>
        </w:rPr>
        <w:t>年度一般公共预算项目支出全面开展绩效自评，其中，一级项目</w:t>
      </w:r>
      <w:r>
        <w:rPr>
          <w:rFonts w:hint="eastAsia" w:ascii="仿宋_GB2312" w:hAnsi="宋体" w:eastAsia="仿宋_GB2312"/>
          <w:sz w:val="32"/>
          <w:lang w:val="en-US" w:eastAsia="zh-CN"/>
        </w:rPr>
        <w:t>0</w:t>
      </w:r>
      <w:r>
        <w:rPr>
          <w:rFonts w:hint="eastAsia" w:ascii="仿宋_GB2312" w:hAnsi="宋体" w:eastAsia="仿宋_GB2312"/>
          <w:sz w:val="32"/>
        </w:rPr>
        <w:t>个，二级项目</w:t>
      </w:r>
      <w:r>
        <w:rPr>
          <w:rFonts w:hint="eastAsia" w:ascii="仿宋_GB2312" w:hAnsi="宋体" w:eastAsia="仿宋_GB2312"/>
          <w:sz w:val="32"/>
          <w:lang w:val="en-US" w:eastAsia="zh-CN"/>
        </w:rPr>
        <w:t>4</w:t>
      </w:r>
      <w:r>
        <w:rPr>
          <w:rFonts w:hint="eastAsia" w:ascii="仿宋_GB2312" w:hAnsi="宋体" w:eastAsia="仿宋_GB2312"/>
          <w:sz w:val="32"/>
        </w:rPr>
        <w:t>个，共涉及资金</w:t>
      </w:r>
      <w:r>
        <w:rPr>
          <w:rFonts w:hint="eastAsia" w:ascii="仿宋_GB2312" w:hAnsi="宋体" w:eastAsia="仿宋_GB2312"/>
          <w:sz w:val="32"/>
          <w:lang w:val="en-US" w:eastAsia="zh-CN"/>
        </w:rPr>
        <w:t>83.77</w:t>
      </w:r>
      <w:r>
        <w:rPr>
          <w:rFonts w:hint="eastAsia" w:ascii="仿宋_GB2312" w:hAnsi="宋体" w:eastAsia="仿宋_GB2312"/>
          <w:sz w:val="32"/>
        </w:rPr>
        <w:t>万元，占一般公共预算项目支出总额的</w:t>
      </w:r>
      <w:r>
        <w:rPr>
          <w:rFonts w:hint="eastAsia" w:ascii="仿宋_GB2312" w:hAnsi="宋体" w:eastAsia="仿宋_GB2312"/>
          <w:sz w:val="32"/>
          <w:lang w:val="en-US" w:eastAsia="zh-CN"/>
        </w:rPr>
        <w:t>100</w:t>
      </w:r>
      <w:r>
        <w:rPr>
          <w:rFonts w:ascii="仿宋_GB2312" w:hAnsi="宋体" w:eastAsia="仿宋_GB2312"/>
          <w:sz w:val="32"/>
        </w:rPr>
        <w:t>%</w:t>
      </w:r>
      <w:r>
        <w:rPr>
          <w:rFonts w:hint="eastAsia" w:ascii="仿宋_GB2312" w:hAnsi="宋体" w:eastAsia="仿宋_GB2312"/>
          <w:sz w:val="32"/>
        </w:rPr>
        <w:t>。</w:t>
      </w:r>
    </w:p>
    <w:p>
      <w:pPr>
        <w:pStyle w:val="13"/>
        <w:spacing w:before="0" w:beforeAutospacing="0" w:after="0" w:afterAutospacing="0" w:line="560" w:lineRule="exact"/>
        <w:ind w:firstLine="640" w:firstLineChars="200"/>
        <w:rPr>
          <w:rFonts w:hint="eastAsia" w:ascii="仿宋_GB2312" w:eastAsia="仿宋_GB2312"/>
          <w:sz w:val="32"/>
          <w:lang w:eastAsia="zh-CN"/>
        </w:rPr>
      </w:pPr>
      <w:r>
        <w:rPr>
          <w:rFonts w:hint="eastAsia" w:ascii="仿宋_GB2312" w:hAnsi="宋体" w:eastAsia="仿宋_GB2312"/>
          <w:sz w:val="32"/>
        </w:rPr>
        <w:t>组织对“</w:t>
      </w:r>
      <w:r>
        <w:rPr>
          <w:rFonts w:hint="eastAsia" w:ascii="仿宋_GB2312" w:eastAsia="仿宋_GB2312"/>
          <w:sz w:val="32"/>
          <w:lang w:eastAsia="zh-CN"/>
        </w:rPr>
        <w:t>防疫经费</w:t>
      </w:r>
      <w:r>
        <w:rPr>
          <w:rFonts w:hint="eastAsia" w:ascii="仿宋_GB2312" w:hAnsi="宋体" w:eastAsia="仿宋_GB2312"/>
          <w:sz w:val="32"/>
        </w:rPr>
        <w:t>”“</w:t>
      </w:r>
      <w:r>
        <w:rPr>
          <w:rFonts w:hint="eastAsia" w:ascii="仿宋_GB2312" w:eastAsia="仿宋_GB2312"/>
          <w:sz w:val="32"/>
          <w:lang w:eastAsia="zh-CN"/>
        </w:rPr>
        <w:t>检察工作网电脑</w:t>
      </w:r>
      <w:r>
        <w:rPr>
          <w:rFonts w:hint="eastAsia" w:ascii="仿宋_GB2312" w:hAnsi="宋体" w:eastAsia="仿宋_GB2312"/>
          <w:sz w:val="32"/>
        </w:rPr>
        <w:t>”等</w:t>
      </w:r>
      <w:r>
        <w:rPr>
          <w:rFonts w:hint="eastAsia" w:ascii="仿宋_GB2312" w:eastAsia="仿宋_GB2312"/>
          <w:sz w:val="32"/>
          <w:lang w:val="en-US" w:eastAsia="zh-CN"/>
        </w:rPr>
        <w:t>4</w:t>
      </w:r>
      <w:r>
        <w:rPr>
          <w:rFonts w:hint="eastAsia" w:ascii="仿宋_GB2312" w:hAnsi="宋体" w:eastAsia="仿宋_GB2312"/>
          <w:sz w:val="32"/>
        </w:rPr>
        <w:t>个项目开展了部门评价，涉及一般公共预算支出</w:t>
      </w:r>
      <w:r>
        <w:rPr>
          <w:rFonts w:hint="eastAsia" w:ascii="仿宋_GB2312" w:eastAsia="仿宋_GB2312"/>
          <w:sz w:val="32"/>
          <w:lang w:val="en-US" w:eastAsia="zh-CN"/>
        </w:rPr>
        <w:t>83.77</w:t>
      </w:r>
      <w:r>
        <w:rPr>
          <w:rFonts w:hint="eastAsia" w:ascii="仿宋_GB2312" w:hAnsi="宋体" w:eastAsia="仿宋_GB2312"/>
          <w:sz w:val="32"/>
        </w:rPr>
        <w:t>万元。从评价情况来看，</w:t>
      </w:r>
      <w:r>
        <w:rPr>
          <w:rFonts w:hint="eastAsia" w:ascii="仿宋_GB2312" w:eastAsia="仿宋_GB2312"/>
          <w:sz w:val="32"/>
          <w:lang w:eastAsia="zh-CN"/>
        </w:rPr>
        <w:t>项目立项较为规范，绩效目标管理明确，预算编制合理，总体完成情况较好。组织开展部门整体支出绩效评价，从评价情况来看，我单位围绕上级重大决策部署，统筹推进各项工作，强化服务职能，项目管理有效，社会效益明显，满意度较高，项目实施有相应的资金保障、人员保障和制度保障，达到了预期绩效目标。</w:t>
      </w:r>
    </w:p>
    <w:p>
      <w:pPr>
        <w:pStyle w:val="13"/>
        <w:spacing w:before="0" w:beforeAutospacing="0" w:after="0" w:afterAutospacing="0" w:line="560" w:lineRule="exact"/>
        <w:ind w:firstLine="640" w:firstLineChars="200"/>
        <w:rPr>
          <w:rStyle w:val="16"/>
          <w:rFonts w:hint="eastAsia" w:ascii="楷体_GB2312" w:hAnsi="楷体" w:eastAsia="楷体_GB2312" w:cs="楷体"/>
          <w:b w:val="0"/>
          <w:sz w:val="32"/>
          <w:szCs w:val="32"/>
          <w:shd w:val="clear" w:color="auto" w:fill="FFFFFF"/>
          <w:lang w:eastAsia="zh-CN"/>
        </w:rPr>
      </w:pPr>
      <w:r>
        <w:rPr>
          <w:rStyle w:val="16"/>
          <w:rFonts w:hint="eastAsia" w:ascii="楷体_GB2312" w:hAnsi="楷体" w:eastAsia="楷体_GB2312" w:cs="楷体"/>
          <w:b w:val="0"/>
          <w:sz w:val="32"/>
          <w:szCs w:val="32"/>
          <w:shd w:val="clear" w:color="auto" w:fill="FFFFFF"/>
          <w:lang w:eastAsia="zh-CN"/>
        </w:rPr>
        <w:t>（2）部门决算中项目绩效自评结果。</w:t>
      </w:r>
    </w:p>
    <w:p>
      <w:pPr>
        <w:pStyle w:val="13"/>
        <w:spacing w:before="0" w:beforeAutospacing="0" w:after="0" w:afterAutospacing="0" w:line="560" w:lineRule="exact"/>
        <w:ind w:firstLine="640" w:firstLineChars="200"/>
        <w:rPr>
          <w:rFonts w:hint="eastAsia" w:ascii="仿宋_GB2312" w:hAnsi="宋体" w:eastAsia="仿宋_GB2312"/>
          <w:sz w:val="32"/>
        </w:rPr>
      </w:pPr>
      <w:r>
        <w:rPr>
          <w:rFonts w:hint="eastAsia" w:ascii="仿宋_GB2312" w:eastAsia="仿宋_GB2312"/>
          <w:sz w:val="32"/>
          <w:lang w:eastAsia="zh-CN"/>
        </w:rPr>
        <w:t>被装购置费</w:t>
      </w:r>
      <w:r>
        <w:rPr>
          <w:rFonts w:hint="eastAsia" w:ascii="仿宋_GB2312" w:hAnsi="宋体" w:eastAsia="仿宋_GB2312"/>
          <w:sz w:val="32"/>
        </w:rPr>
        <w:t>项目绩效自评综述：根据年初设定的绩效目标，项目绩效自评得分为</w:t>
      </w:r>
      <w:r>
        <w:rPr>
          <w:rFonts w:hint="eastAsia" w:ascii="仿宋_GB2312" w:eastAsia="仿宋_GB2312"/>
          <w:sz w:val="32"/>
          <w:lang w:val="en-US" w:eastAsia="zh-CN"/>
        </w:rPr>
        <w:t>80</w:t>
      </w:r>
      <w:r>
        <w:rPr>
          <w:rFonts w:hint="eastAsia" w:ascii="仿宋_GB2312" w:hAnsi="宋体" w:eastAsia="仿宋_GB2312"/>
          <w:sz w:val="32"/>
        </w:rPr>
        <w:t>分。项目全年预算数为</w:t>
      </w:r>
      <w:r>
        <w:rPr>
          <w:rFonts w:hint="eastAsia" w:ascii="仿宋_GB2312" w:eastAsia="仿宋_GB2312"/>
          <w:sz w:val="32"/>
          <w:lang w:val="en-US" w:eastAsia="zh-CN"/>
        </w:rPr>
        <w:t>2.96</w:t>
      </w:r>
      <w:r>
        <w:rPr>
          <w:rFonts w:hint="eastAsia" w:ascii="仿宋_GB2312" w:hAnsi="宋体" w:eastAsia="仿宋_GB2312"/>
          <w:sz w:val="32"/>
        </w:rPr>
        <w:t>万元，执行数为</w:t>
      </w:r>
      <w:r>
        <w:rPr>
          <w:rFonts w:hint="eastAsia" w:ascii="仿宋_GB2312" w:eastAsia="仿宋_GB2312"/>
          <w:sz w:val="32"/>
          <w:lang w:val="en-US" w:eastAsia="zh-CN"/>
        </w:rPr>
        <w:t>0.98</w:t>
      </w:r>
      <w:r>
        <w:rPr>
          <w:rFonts w:hint="eastAsia" w:ascii="仿宋_GB2312" w:hAnsi="宋体" w:eastAsia="仿宋_GB2312"/>
          <w:sz w:val="32"/>
        </w:rPr>
        <w:t>万元，完成预算的</w:t>
      </w:r>
      <w:r>
        <w:rPr>
          <w:rFonts w:hint="eastAsia" w:ascii="仿宋_GB2312" w:eastAsia="仿宋_GB2312"/>
          <w:sz w:val="32"/>
          <w:lang w:val="en-US" w:eastAsia="zh-CN"/>
        </w:rPr>
        <w:t>33.08</w:t>
      </w:r>
      <w:r>
        <w:rPr>
          <w:rFonts w:hint="eastAsia" w:ascii="仿宋_GB2312" w:hAnsi="宋体" w:eastAsia="仿宋_GB2312"/>
          <w:sz w:val="32"/>
        </w:rPr>
        <w:t>%。项目绩效目标完成情况：一</w:t>
      </w:r>
      <w:r>
        <w:rPr>
          <w:rFonts w:hint="eastAsia" w:ascii="仿宋_GB2312" w:eastAsia="仿宋_GB2312"/>
          <w:sz w:val="32"/>
          <w:lang w:eastAsia="zh-CN"/>
        </w:rPr>
        <w:t>是基本完成了年初制定的绩效目标</w:t>
      </w:r>
      <w:r>
        <w:rPr>
          <w:rFonts w:hint="eastAsia" w:ascii="仿宋_GB2312" w:hAnsi="宋体" w:eastAsia="仿宋_GB2312"/>
          <w:sz w:val="32"/>
        </w:rPr>
        <w:t>；二是</w:t>
      </w:r>
      <w:r>
        <w:rPr>
          <w:rFonts w:hint="eastAsia" w:ascii="仿宋_GB2312" w:eastAsia="仿宋_GB2312"/>
          <w:sz w:val="32"/>
          <w:lang w:eastAsia="zh-CN"/>
        </w:rPr>
        <w:t>较好地利用财政资金保障了聘用制书记员的服装发放</w:t>
      </w:r>
      <w:r>
        <w:rPr>
          <w:rFonts w:hint="eastAsia" w:ascii="仿宋_GB2312" w:hAnsi="宋体" w:eastAsia="仿宋_GB2312"/>
          <w:sz w:val="32"/>
        </w:rPr>
        <w:t>。发现的主要问题及原因：</w:t>
      </w:r>
      <w:r>
        <w:rPr>
          <w:rFonts w:hint="eastAsia" w:ascii="仿宋_GB2312" w:eastAsia="仿宋_GB2312"/>
          <w:sz w:val="32"/>
          <w:lang w:eastAsia="zh-CN"/>
        </w:rPr>
        <w:t>书记员流动性大，项目支出不确定性大</w:t>
      </w:r>
      <w:r>
        <w:rPr>
          <w:rFonts w:hint="eastAsia" w:ascii="仿宋_GB2312" w:hAnsi="宋体" w:eastAsia="仿宋_GB2312"/>
          <w:sz w:val="32"/>
        </w:rPr>
        <w:t>。下一步改进措施：</w:t>
      </w:r>
      <w:r>
        <w:rPr>
          <w:rFonts w:hint="eastAsia" w:ascii="仿宋_GB2312" w:eastAsia="仿宋_GB2312"/>
          <w:sz w:val="32"/>
          <w:lang w:eastAsia="zh-CN"/>
        </w:rPr>
        <w:t>完善书记员管理办法，通过考核机制等方法稳定书记员队伍，进一步精细化预算编制</w:t>
      </w:r>
      <w:r>
        <w:rPr>
          <w:rFonts w:hint="eastAsia" w:ascii="仿宋_GB2312" w:hAnsi="宋体" w:eastAsia="仿宋_GB2312"/>
          <w:sz w:val="32"/>
        </w:rPr>
        <w:t>。</w:t>
      </w:r>
    </w:p>
    <w:p>
      <w:pPr>
        <w:pStyle w:val="13"/>
        <w:spacing w:before="0" w:beforeAutospacing="0" w:after="0" w:afterAutospacing="0" w:line="560" w:lineRule="exact"/>
        <w:ind w:firstLine="640" w:firstLineChars="200"/>
        <w:rPr>
          <w:rFonts w:hint="eastAsia" w:ascii="仿宋_GB2312" w:hAnsi="宋体" w:eastAsia="仿宋_GB2312"/>
          <w:sz w:val="32"/>
          <w:lang w:eastAsia="zh-CN"/>
        </w:rPr>
      </w:pPr>
      <w:r>
        <w:rPr>
          <w:rFonts w:hint="eastAsia" w:ascii="仿宋_GB2312" w:eastAsia="仿宋_GB2312"/>
          <w:sz w:val="32"/>
          <w:lang w:eastAsia="zh-CN"/>
        </w:rPr>
        <w:t>防疫经费</w:t>
      </w:r>
      <w:r>
        <w:rPr>
          <w:rFonts w:hint="eastAsia" w:ascii="仿宋_GB2312" w:hAnsi="宋体" w:eastAsia="仿宋_GB2312"/>
          <w:sz w:val="32"/>
        </w:rPr>
        <w:t>项目绩效自评综述：根据年初设定的绩效目标，项目绩效自评得分为</w:t>
      </w:r>
      <w:r>
        <w:rPr>
          <w:rFonts w:hint="eastAsia" w:ascii="仿宋_GB2312" w:hAnsi="宋体" w:eastAsia="仿宋_GB2312"/>
          <w:sz w:val="32"/>
          <w:lang w:val="en-US" w:eastAsia="zh-CN"/>
        </w:rPr>
        <w:t>100</w:t>
      </w:r>
      <w:r>
        <w:rPr>
          <w:rFonts w:hint="eastAsia" w:ascii="仿宋_GB2312" w:hAnsi="宋体" w:eastAsia="仿宋_GB2312"/>
          <w:sz w:val="32"/>
        </w:rPr>
        <w:t>分。项目全年预算数为</w:t>
      </w:r>
      <w:r>
        <w:rPr>
          <w:rFonts w:hint="eastAsia" w:ascii="仿宋_GB2312" w:hAnsi="宋体" w:eastAsia="仿宋_GB2312"/>
          <w:sz w:val="32"/>
          <w:lang w:val="en-US" w:eastAsia="zh-CN"/>
        </w:rPr>
        <w:t>3.49</w:t>
      </w:r>
      <w:r>
        <w:rPr>
          <w:rFonts w:hint="eastAsia" w:ascii="仿宋_GB2312" w:hAnsi="宋体" w:eastAsia="仿宋_GB2312"/>
          <w:sz w:val="32"/>
        </w:rPr>
        <w:t>万元，执行数为</w:t>
      </w:r>
      <w:r>
        <w:rPr>
          <w:rFonts w:hint="eastAsia" w:ascii="仿宋_GB2312" w:hAnsi="宋体" w:eastAsia="仿宋_GB2312"/>
          <w:sz w:val="32"/>
          <w:lang w:val="en-US" w:eastAsia="zh-CN"/>
        </w:rPr>
        <w:t>3.49</w:t>
      </w:r>
      <w:r>
        <w:rPr>
          <w:rFonts w:hint="eastAsia" w:ascii="仿宋_GB2312" w:hAnsi="宋体" w:eastAsia="仿宋_GB2312"/>
          <w:sz w:val="32"/>
        </w:rPr>
        <w:t>万元，完成预算的</w:t>
      </w:r>
      <w:r>
        <w:rPr>
          <w:rFonts w:hint="eastAsia" w:ascii="仿宋_GB2312" w:hAnsi="宋体" w:eastAsia="仿宋_GB2312"/>
          <w:sz w:val="32"/>
          <w:lang w:val="en-US" w:eastAsia="zh-CN"/>
        </w:rPr>
        <w:t>100</w:t>
      </w:r>
      <w:r>
        <w:rPr>
          <w:rFonts w:hint="eastAsia" w:ascii="仿宋_GB2312" w:hAnsi="宋体" w:eastAsia="仿宋_GB2312"/>
          <w:sz w:val="32"/>
        </w:rPr>
        <w:t>%。项目绩效目标完成情况：一</w:t>
      </w:r>
      <w:r>
        <w:rPr>
          <w:rFonts w:hint="eastAsia" w:ascii="仿宋_GB2312" w:eastAsia="仿宋_GB2312"/>
          <w:sz w:val="32"/>
          <w:lang w:eastAsia="zh-CN"/>
        </w:rPr>
        <w:t>是较好地完成了年初制定的绩效目标</w:t>
      </w:r>
      <w:r>
        <w:rPr>
          <w:rFonts w:hint="eastAsia" w:ascii="仿宋_GB2312" w:hAnsi="宋体" w:eastAsia="仿宋_GB2312"/>
          <w:sz w:val="32"/>
        </w:rPr>
        <w:t>；</w:t>
      </w:r>
      <w:r>
        <w:rPr>
          <w:rFonts w:hint="eastAsia" w:ascii="仿宋_GB2312" w:hAnsi="宋体" w:eastAsia="仿宋_GB2312"/>
          <w:sz w:val="32"/>
          <w:lang w:eastAsia="zh-CN"/>
        </w:rPr>
        <w:t>二是积极消化了财政上年结转资金。发现的主要问题及原因：各地疫情反复出现，专项经费支出不确定性大。下一步改进措施：提高前瞻性，根据</w:t>
      </w:r>
      <w:r>
        <w:rPr>
          <w:rFonts w:hint="eastAsia" w:ascii="仿宋_GB2312" w:eastAsia="仿宋_GB2312"/>
          <w:sz w:val="32"/>
          <w:lang w:eastAsia="zh-CN"/>
        </w:rPr>
        <w:t>实际</w:t>
      </w:r>
      <w:r>
        <w:rPr>
          <w:rFonts w:hint="eastAsia" w:ascii="仿宋_GB2312" w:hAnsi="宋体" w:eastAsia="仿宋_GB2312"/>
          <w:sz w:val="32"/>
          <w:lang w:eastAsia="zh-CN"/>
        </w:rPr>
        <w:t>情况，积极做好疫情专项经费预算。</w:t>
      </w:r>
    </w:p>
    <w:p>
      <w:pPr>
        <w:pStyle w:val="13"/>
        <w:spacing w:before="0" w:beforeAutospacing="0" w:after="0" w:afterAutospacing="0" w:line="560" w:lineRule="exact"/>
        <w:ind w:firstLine="640" w:firstLineChars="200"/>
        <w:rPr>
          <w:rFonts w:hint="eastAsia" w:ascii="仿宋_GB2312" w:hAnsi="宋体" w:eastAsia="仿宋_GB2312"/>
          <w:sz w:val="32"/>
          <w:lang w:eastAsia="zh-CN"/>
        </w:rPr>
      </w:pPr>
      <w:r>
        <w:rPr>
          <w:rFonts w:hint="eastAsia" w:ascii="仿宋_GB2312" w:hAnsi="宋体" w:eastAsia="仿宋_GB2312"/>
          <w:sz w:val="32"/>
          <w:lang w:eastAsia="zh-CN"/>
        </w:rPr>
        <w:t>检察工作网</w:t>
      </w:r>
      <w:r>
        <w:rPr>
          <w:rFonts w:hint="eastAsia" w:ascii="仿宋_GB2312" w:hAnsi="宋体" w:eastAsia="仿宋_GB2312"/>
          <w:sz w:val="32"/>
        </w:rPr>
        <w:t>项目绩效自评综述：根据年初设定的绩效目标，项目绩效自评得分为</w:t>
      </w:r>
      <w:r>
        <w:rPr>
          <w:rFonts w:hint="eastAsia" w:ascii="仿宋_GB2312" w:hAnsi="宋体" w:eastAsia="仿宋_GB2312"/>
          <w:sz w:val="32"/>
          <w:lang w:val="en-US" w:eastAsia="zh-CN"/>
        </w:rPr>
        <w:t>98</w:t>
      </w:r>
      <w:r>
        <w:rPr>
          <w:rFonts w:hint="eastAsia" w:ascii="仿宋_GB2312" w:hAnsi="宋体" w:eastAsia="仿宋_GB2312"/>
          <w:sz w:val="32"/>
        </w:rPr>
        <w:t>分。项目全年预算数为</w:t>
      </w:r>
      <w:r>
        <w:rPr>
          <w:rFonts w:hint="eastAsia" w:ascii="仿宋_GB2312" w:hAnsi="宋体" w:eastAsia="仿宋_GB2312"/>
          <w:sz w:val="32"/>
          <w:lang w:val="en-US" w:eastAsia="zh-CN"/>
        </w:rPr>
        <w:t>42</w:t>
      </w:r>
      <w:r>
        <w:rPr>
          <w:rFonts w:hint="eastAsia" w:ascii="仿宋_GB2312" w:hAnsi="宋体" w:eastAsia="仿宋_GB2312"/>
          <w:sz w:val="32"/>
        </w:rPr>
        <w:t>万元，执行数为</w:t>
      </w:r>
      <w:r>
        <w:rPr>
          <w:rFonts w:hint="eastAsia" w:ascii="仿宋_GB2312" w:hAnsi="宋体" w:eastAsia="仿宋_GB2312"/>
          <w:sz w:val="32"/>
          <w:lang w:val="en-US" w:eastAsia="zh-CN"/>
        </w:rPr>
        <w:t>41.3</w:t>
      </w:r>
      <w:r>
        <w:rPr>
          <w:rFonts w:hint="eastAsia" w:ascii="仿宋_GB2312" w:hAnsi="宋体" w:eastAsia="仿宋_GB2312"/>
          <w:sz w:val="32"/>
        </w:rPr>
        <w:t>万元，完成预算的</w:t>
      </w:r>
      <w:r>
        <w:rPr>
          <w:rFonts w:hint="eastAsia" w:ascii="仿宋_GB2312" w:hAnsi="宋体" w:eastAsia="仿宋_GB2312"/>
          <w:sz w:val="32"/>
          <w:lang w:val="en-US" w:eastAsia="zh-CN"/>
        </w:rPr>
        <w:t>98.33</w:t>
      </w:r>
      <w:r>
        <w:rPr>
          <w:rFonts w:hint="eastAsia" w:ascii="仿宋_GB2312" w:hAnsi="宋体" w:eastAsia="仿宋_GB2312"/>
          <w:sz w:val="32"/>
        </w:rPr>
        <w:t>%。项目绩效目标完成情况：一</w:t>
      </w:r>
      <w:r>
        <w:rPr>
          <w:rFonts w:hint="eastAsia" w:ascii="仿宋_GB2312" w:eastAsia="仿宋_GB2312"/>
          <w:sz w:val="32"/>
          <w:lang w:eastAsia="zh-CN"/>
        </w:rPr>
        <w:t>是较好地完成了年中追加的绩效目标</w:t>
      </w:r>
      <w:r>
        <w:rPr>
          <w:rFonts w:hint="eastAsia" w:ascii="仿宋_GB2312" w:hAnsi="宋体" w:eastAsia="仿宋_GB2312"/>
          <w:sz w:val="32"/>
        </w:rPr>
        <w:t>；</w:t>
      </w:r>
      <w:r>
        <w:rPr>
          <w:rFonts w:hint="eastAsia" w:ascii="仿宋_GB2312" w:hAnsi="宋体" w:eastAsia="仿宋_GB2312"/>
          <w:sz w:val="32"/>
          <w:lang w:eastAsia="zh-CN"/>
        </w:rPr>
        <w:t>二是根据高检院和省院要求，及时地完成了检察工作网电脑的购置。发现的主要问题及原因：因预算编制不完善，检察工作网电脑暂未配备齐全。下一步改进措施：进一步强化部门预算编制管理职责，加强预算编制审核，合理测算并编制各项预算。</w:t>
      </w:r>
    </w:p>
    <w:p>
      <w:pPr>
        <w:pStyle w:val="13"/>
        <w:spacing w:before="0" w:beforeAutospacing="0" w:after="0" w:afterAutospacing="0" w:line="560" w:lineRule="exact"/>
        <w:ind w:firstLine="640" w:firstLineChars="200"/>
        <w:rPr>
          <w:rFonts w:hint="eastAsia" w:ascii="仿宋_GB2312" w:hAnsi="宋体" w:eastAsia="仿宋_GB2312"/>
          <w:sz w:val="32"/>
          <w:lang w:eastAsia="zh-CN"/>
        </w:rPr>
      </w:pPr>
      <w:r>
        <w:rPr>
          <w:rFonts w:hint="eastAsia" w:ascii="仿宋_GB2312" w:hAnsi="宋体" w:eastAsia="仿宋_GB2312"/>
          <w:sz w:val="32"/>
          <w:lang w:eastAsia="zh-CN"/>
        </w:rPr>
        <w:t>资本性支出</w:t>
      </w:r>
      <w:r>
        <w:rPr>
          <w:rFonts w:hint="eastAsia" w:ascii="仿宋_GB2312" w:hAnsi="宋体" w:eastAsia="仿宋_GB2312"/>
          <w:sz w:val="32"/>
        </w:rPr>
        <w:t>项目绩效自评综述：根据年初设定的绩效目标，项目绩效自评得分为</w:t>
      </w:r>
      <w:r>
        <w:rPr>
          <w:rFonts w:hint="eastAsia" w:ascii="仿宋_GB2312" w:eastAsia="仿宋_GB2312"/>
          <w:sz w:val="32"/>
          <w:lang w:val="en-US" w:eastAsia="zh-CN"/>
        </w:rPr>
        <w:t>100</w:t>
      </w:r>
      <w:r>
        <w:rPr>
          <w:rFonts w:hint="eastAsia" w:ascii="仿宋_GB2312" w:hAnsi="宋体" w:eastAsia="仿宋_GB2312"/>
          <w:sz w:val="32"/>
        </w:rPr>
        <w:t>分。项目全年预算数为</w:t>
      </w:r>
      <w:r>
        <w:rPr>
          <w:rFonts w:hint="eastAsia" w:ascii="仿宋_GB2312" w:hAnsi="宋体" w:eastAsia="仿宋_GB2312"/>
          <w:sz w:val="32"/>
          <w:lang w:val="en-US" w:eastAsia="zh-CN"/>
        </w:rPr>
        <w:t>38</w:t>
      </w:r>
      <w:r>
        <w:rPr>
          <w:rFonts w:hint="eastAsia" w:ascii="仿宋_GB2312" w:hAnsi="宋体" w:eastAsia="仿宋_GB2312"/>
          <w:sz w:val="32"/>
        </w:rPr>
        <w:t>万元，执行数为</w:t>
      </w:r>
      <w:r>
        <w:rPr>
          <w:rFonts w:hint="eastAsia" w:ascii="仿宋_GB2312" w:hAnsi="宋体" w:eastAsia="仿宋_GB2312"/>
          <w:sz w:val="32"/>
          <w:lang w:val="en-US" w:eastAsia="zh-CN"/>
        </w:rPr>
        <w:t>38</w:t>
      </w:r>
      <w:r>
        <w:rPr>
          <w:rFonts w:hint="eastAsia" w:ascii="仿宋_GB2312" w:hAnsi="宋体" w:eastAsia="仿宋_GB2312"/>
          <w:sz w:val="32"/>
        </w:rPr>
        <w:t>万元，完成预算的</w:t>
      </w:r>
      <w:r>
        <w:rPr>
          <w:rFonts w:hint="eastAsia" w:ascii="仿宋_GB2312" w:hAnsi="宋体" w:eastAsia="仿宋_GB2312"/>
          <w:sz w:val="32"/>
          <w:lang w:val="en-US" w:eastAsia="zh-CN"/>
        </w:rPr>
        <w:t>100</w:t>
      </w:r>
      <w:r>
        <w:rPr>
          <w:rFonts w:hint="eastAsia" w:ascii="仿宋_GB2312" w:hAnsi="宋体" w:eastAsia="仿宋_GB2312"/>
          <w:sz w:val="32"/>
        </w:rPr>
        <w:t>%。项目绩效目标完成情况：一</w:t>
      </w:r>
      <w:r>
        <w:rPr>
          <w:rFonts w:hint="eastAsia" w:ascii="仿宋_GB2312" w:eastAsia="仿宋_GB2312"/>
          <w:sz w:val="32"/>
          <w:lang w:eastAsia="zh-CN"/>
        </w:rPr>
        <w:t>是较好地完成了本年绩效目标</w:t>
      </w:r>
      <w:r>
        <w:rPr>
          <w:rFonts w:hint="eastAsia" w:ascii="仿宋_GB2312" w:hAnsi="宋体" w:eastAsia="仿宋_GB2312"/>
          <w:sz w:val="32"/>
        </w:rPr>
        <w:t>；</w:t>
      </w:r>
      <w:r>
        <w:rPr>
          <w:rFonts w:hint="eastAsia" w:ascii="仿宋_GB2312" w:hAnsi="宋体" w:eastAsia="仿宋_GB2312"/>
          <w:sz w:val="32"/>
          <w:lang w:eastAsia="zh-CN"/>
        </w:rPr>
        <w:t>二是根据日常办公办案需求，及时</w:t>
      </w:r>
      <w:r>
        <w:rPr>
          <w:rFonts w:hint="eastAsia" w:ascii="仿宋_GB2312" w:eastAsia="仿宋_GB2312"/>
          <w:sz w:val="32"/>
          <w:lang w:eastAsia="zh-CN"/>
        </w:rPr>
        <w:t>配备日常办公办案设备</w:t>
      </w:r>
      <w:r>
        <w:rPr>
          <w:rFonts w:hint="eastAsia" w:ascii="仿宋_GB2312" w:hAnsi="宋体" w:eastAsia="仿宋_GB2312"/>
          <w:sz w:val="32"/>
          <w:lang w:eastAsia="zh-CN"/>
        </w:rPr>
        <w:t>。发现的主要问题及原因：预算编制</w:t>
      </w:r>
      <w:r>
        <w:rPr>
          <w:rFonts w:hint="eastAsia" w:ascii="仿宋_GB2312" w:eastAsia="仿宋_GB2312"/>
          <w:sz w:val="32"/>
          <w:lang w:eastAsia="zh-CN"/>
        </w:rPr>
        <w:t>精细度有待提高</w:t>
      </w:r>
      <w:r>
        <w:rPr>
          <w:rFonts w:hint="eastAsia" w:ascii="仿宋_GB2312" w:hAnsi="宋体" w:eastAsia="仿宋_GB2312"/>
          <w:sz w:val="32"/>
          <w:lang w:eastAsia="zh-CN"/>
        </w:rPr>
        <w:t>。下一步改进措施：进一步强化部门预算编制管理职责，加强预算编制审核，合理测算并编制各项预算</w:t>
      </w:r>
      <w:r>
        <w:rPr>
          <w:rFonts w:hint="eastAsia" w:ascii="仿宋_GB2312" w:eastAsia="仿宋_GB2312"/>
          <w:sz w:val="32"/>
          <w:lang w:eastAsia="zh-CN"/>
        </w:rPr>
        <w:t>支出</w:t>
      </w:r>
      <w:r>
        <w:rPr>
          <w:rFonts w:hint="eastAsia" w:ascii="仿宋_GB2312" w:hAnsi="宋体" w:eastAsia="仿宋_GB2312"/>
          <w:sz w:val="32"/>
          <w:lang w:eastAsia="zh-CN"/>
        </w:rPr>
        <w:t>。</w:t>
      </w:r>
    </w:p>
    <w:p>
      <w:pPr>
        <w:pStyle w:val="13"/>
        <w:spacing w:before="0" w:beforeAutospacing="0" w:after="0" w:afterAutospacing="0" w:line="560" w:lineRule="exact"/>
        <w:ind w:firstLine="640" w:firstLineChars="200"/>
        <w:rPr>
          <w:rFonts w:hint="default" w:ascii="仿宋_GB2312" w:hAnsi="宋体" w:eastAsia="仿宋_GB2312"/>
          <w:sz w:val="32"/>
          <w:lang w:val="en-US" w:eastAsia="zh-CN"/>
        </w:rPr>
      </w:pPr>
      <w:r>
        <w:rPr>
          <w:rFonts w:hint="eastAsia" w:ascii="仿宋_GB2312" w:eastAsia="仿宋_GB2312"/>
          <w:sz w:val="32"/>
          <w:lang w:eastAsia="zh-CN"/>
        </w:rPr>
        <w:t>常德市武陵区人民检察院项目绩效自评综述</w:t>
      </w:r>
      <w:r>
        <w:rPr>
          <w:rFonts w:hint="eastAsia" w:ascii="仿宋_GB2312" w:eastAsia="仿宋_GB2312"/>
          <w:sz w:val="32"/>
          <w:lang w:val="en-US" w:eastAsia="zh-CN"/>
        </w:rPr>
        <w:t>:经对2021年度一般公共预算支出预算执行、部门整体支出各项绩效指标完成情况以及未完成绩效目标项目进行自查、分析，以预算管理资金为主线，对资产管理和业务开展情况，从运行成本、管理效率、履行职能、社会效应、可持续发展能力等方面，进行了全面衡量。2021年，在上级检察机关和区委、</w:t>
      </w:r>
      <w:bookmarkStart w:id="36" w:name="_GoBack"/>
      <w:bookmarkEnd w:id="36"/>
      <w:r>
        <w:rPr>
          <w:rFonts w:hint="eastAsia" w:ascii="仿宋_GB2312" w:eastAsia="仿宋_GB2312"/>
          <w:sz w:val="32"/>
          <w:lang w:val="en-US" w:eastAsia="zh-CN"/>
        </w:rPr>
        <w:t>区政府的坚强领导下，我单位认真贯彻落实党的十九届历次全会精神，认真执行各项工作决议，紧紧围绕“三高四新”战略定位和使命履职尽责，为武陵区高质量发展提供了有力法治保障，较好的达到了年度绩效目标。</w:t>
      </w:r>
    </w:p>
    <w:p>
      <w:pPr>
        <w:pStyle w:val="13"/>
        <w:spacing w:before="0" w:beforeAutospacing="0" w:after="0" w:afterAutospacing="0" w:line="560" w:lineRule="exact"/>
        <w:ind w:firstLine="640" w:firstLineChars="200"/>
        <w:rPr>
          <w:rStyle w:val="16"/>
          <w:rFonts w:hint="eastAsia" w:ascii="楷体_GB2312" w:hAnsi="楷体" w:eastAsia="楷体_GB2312" w:cs="楷体"/>
          <w:b w:val="0"/>
          <w:sz w:val="32"/>
          <w:szCs w:val="32"/>
          <w:shd w:val="clear" w:color="auto" w:fill="FFFFFF"/>
          <w:lang w:eastAsia="zh-CN"/>
        </w:rPr>
      </w:pPr>
      <w:r>
        <w:rPr>
          <w:rStyle w:val="16"/>
          <w:rFonts w:hint="eastAsia" w:ascii="楷体_GB2312" w:hAnsi="楷体" w:eastAsia="楷体_GB2312" w:cs="楷体"/>
          <w:b w:val="0"/>
          <w:sz w:val="32"/>
          <w:szCs w:val="32"/>
          <w:shd w:val="clear" w:color="auto" w:fill="FFFFFF"/>
          <w:lang w:eastAsia="zh-CN"/>
        </w:rPr>
        <w:t>（3）部门评价项目绩效评价结果。</w:t>
      </w:r>
    </w:p>
    <w:p>
      <w:pPr>
        <w:pStyle w:val="13"/>
        <w:spacing w:before="0" w:beforeAutospacing="0" w:after="0" w:afterAutospacing="0" w:line="560" w:lineRule="exact"/>
        <w:ind w:firstLine="640" w:firstLineChars="200"/>
        <w:rPr>
          <w:rFonts w:hint="eastAsia" w:ascii="仿宋_GB2312" w:eastAsia="仿宋_GB2312"/>
          <w:sz w:val="32"/>
          <w:lang w:val="en-US" w:eastAsia="zh-CN"/>
        </w:rPr>
      </w:pPr>
      <w:r>
        <w:rPr>
          <w:rFonts w:hint="eastAsia" w:ascii="仿宋_GB2312" w:eastAsia="仿宋_GB2312"/>
          <w:sz w:val="32"/>
          <w:lang w:val="en-US" w:eastAsia="zh-CN"/>
        </w:rPr>
        <w:t>部门评价项目数量3个以内的，至少将1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w:t>
      </w:r>
    </w:p>
    <w:p>
      <w:pPr>
        <w:pStyle w:val="13"/>
        <w:spacing w:before="0" w:beforeAutospacing="0" w:after="0" w:afterAutospacing="0" w:line="560" w:lineRule="exact"/>
        <w:ind w:firstLine="640" w:firstLineChars="200"/>
        <w:rPr>
          <w:rFonts w:hint="eastAsia" w:ascii="仿宋_GB2312" w:hAnsi="宋体" w:eastAsia="仿宋_GB2312"/>
          <w:sz w:val="32"/>
        </w:rPr>
      </w:pPr>
    </w:p>
    <w:p>
      <w:pPr>
        <w:pStyle w:val="30"/>
        <w:jc w:val="center"/>
        <w:rPr>
          <w:sz w:val="72"/>
          <w:szCs w:val="72"/>
        </w:rPr>
      </w:pPr>
    </w:p>
    <w:p>
      <w:pPr>
        <w:pStyle w:val="13"/>
        <w:spacing w:before="0" w:beforeAutospacing="0" w:after="0" w:afterAutospacing="0" w:line="560" w:lineRule="exact"/>
        <w:ind w:firstLine="883" w:firstLineChars="200"/>
        <w:rPr>
          <w:rStyle w:val="16"/>
          <w:rFonts w:ascii="黑体" w:hAnsi="黑体" w:eastAsia="黑体" w:cs="黑体"/>
          <w:sz w:val="44"/>
          <w:szCs w:val="44"/>
          <w:shd w:val="clear" w:color="auto" w:fill="FFFFFF"/>
        </w:rPr>
      </w:pPr>
      <w:r>
        <w:rPr>
          <w:rStyle w:val="16"/>
          <w:rFonts w:ascii="黑体" w:hAnsi="黑体" w:eastAsia="黑体" w:cs="黑体"/>
          <w:sz w:val="44"/>
          <w:szCs w:val="44"/>
          <w:shd w:val="clear" w:color="auto" w:fill="FFFFFF"/>
        </w:rPr>
        <w:br w:type="page"/>
      </w:r>
      <w:bookmarkStart w:id="34" w:name="_Toc16970"/>
    </w:p>
    <w:p>
      <w:pPr>
        <w:pStyle w:val="13"/>
        <w:spacing w:before="0" w:beforeAutospacing="0" w:after="0" w:afterAutospacing="0" w:line="560" w:lineRule="exact"/>
        <w:ind w:firstLine="883" w:firstLineChars="200"/>
        <w:jc w:val="center"/>
        <w:outlineLvl w:val="0"/>
        <w:rPr>
          <w:rStyle w:val="16"/>
          <w:rFonts w:ascii="黑体" w:hAnsi="黑体" w:eastAsia="黑体" w:cs="黑体"/>
          <w:sz w:val="44"/>
          <w:szCs w:val="44"/>
          <w:shd w:val="clear" w:color="auto" w:fill="FFFFFF"/>
        </w:rPr>
      </w:pPr>
      <w:r>
        <w:rPr>
          <w:rStyle w:val="16"/>
          <w:rFonts w:hint="eastAsia" w:ascii="黑体" w:hAnsi="黑体" w:eastAsia="黑体" w:cs="黑体"/>
          <w:sz w:val="44"/>
          <w:szCs w:val="44"/>
          <w:shd w:val="clear" w:color="auto" w:fill="FFFFFF"/>
        </w:rPr>
        <w:t>第四部分 名词解释</w:t>
      </w:r>
      <w:bookmarkEnd w:id="34"/>
    </w:p>
    <w:p>
      <w:pPr>
        <w:pStyle w:val="13"/>
        <w:spacing w:before="0" w:beforeAutospacing="0" w:after="0" w:afterAutospacing="0" w:line="560" w:lineRule="exact"/>
        <w:ind w:firstLine="642" w:firstLineChars="200"/>
        <w:rPr>
          <w:rStyle w:val="16"/>
          <w:rFonts w:cs="宋体"/>
          <w:sz w:val="32"/>
          <w:szCs w:val="32"/>
          <w:shd w:val="clear" w:color="auto" w:fill="FFFFFF"/>
        </w:rPr>
      </w:pP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一、财政拨款收入</w:t>
      </w:r>
      <w:r>
        <w:rPr>
          <w:rStyle w:val="16"/>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二、其他收入</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三、上年结转和结余</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四、年末结转和结余</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五、公共安全支出（类）检察（款）</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六、社会保障和就业支出（类）行政事业单位离退休（款）未归口管理的行政单位离退休（项）：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七、住房保障支出（类）住房改革支出（款）：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（一）住房公积金（项）</w:t>
      </w:r>
      <w:r>
        <w:rPr>
          <w:rStyle w:val="16"/>
          <w:rFonts w:ascii="楷体_GB2312" w:hAnsi="楷体" w:eastAsia="楷体_GB2312" w:cs="楷体"/>
          <w:b w:val="0"/>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八、基本支出</w:t>
      </w:r>
      <w:r>
        <w:rPr>
          <w:rStyle w:val="16"/>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九、项目支出：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16"/>
          <w:rFonts w:hint="eastAsia" w:ascii="楷体_GB2312" w:hAnsi="楷体" w:eastAsia="楷体_GB2312" w:cs="楷体"/>
          <w:b w:val="0"/>
          <w:sz w:val="32"/>
          <w:szCs w:val="32"/>
          <w:shd w:val="clear" w:color="auto" w:fill="FFFFFF"/>
        </w:rPr>
        <w:t>十、“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16"/>
          <w:rFonts w:hint="eastAsia" w:ascii="楷体_GB2312" w:hAnsi="楷体" w:eastAsia="楷体_GB2312" w:cs="楷体"/>
          <w:b w:val="0"/>
          <w:sz w:val="32"/>
          <w:szCs w:val="32"/>
          <w:shd w:val="clear" w:color="auto" w:fill="FFFFFF"/>
        </w:rPr>
        <w:t>十一、机关运行经费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adjustRightInd w:val="0"/>
        <w:snapToGrid w:val="0"/>
        <w:spacing w:line="560" w:lineRule="exact"/>
        <w:ind w:firstLine="640" w:firstLineChars="200"/>
        <w:rPr>
          <w:rFonts w:ascii="仿宋_GB2312" w:hAnsi="Times New Roman" w:eastAsia="仿宋_GB2312" w:cs="仿宋_GB2312"/>
          <w:color w:val="353535"/>
          <w:sz w:val="32"/>
          <w:szCs w:val="32"/>
        </w:rPr>
      </w:pPr>
    </w:p>
    <w:p>
      <w:pPr>
        <w:rPr>
          <w:rStyle w:val="16"/>
          <w:rFonts w:ascii="黑体" w:hAnsi="黑体" w:eastAsia="黑体" w:cs="黑体"/>
          <w:sz w:val="32"/>
          <w:szCs w:val="32"/>
          <w:shd w:val="clear" w:color="auto" w:fill="FFFFFF"/>
        </w:rPr>
      </w:pPr>
      <w:bookmarkStart w:id="35" w:name="_Toc5800"/>
      <w:r>
        <w:rPr>
          <w:rStyle w:val="16"/>
          <w:rFonts w:ascii="黑体" w:hAnsi="黑体" w:eastAsia="黑体" w:cs="黑体"/>
          <w:sz w:val="32"/>
          <w:szCs w:val="32"/>
          <w:shd w:val="clear" w:color="auto" w:fill="FFFFFF"/>
        </w:rPr>
        <w:br w:type="page"/>
      </w:r>
    </w:p>
    <w:p>
      <w:pPr>
        <w:pStyle w:val="13"/>
        <w:spacing w:before="0" w:beforeAutospacing="0" w:after="0" w:afterAutospacing="0" w:line="560" w:lineRule="exact"/>
        <w:ind w:firstLine="883" w:firstLineChars="200"/>
        <w:jc w:val="center"/>
        <w:outlineLvl w:val="0"/>
        <w:rPr>
          <w:rStyle w:val="16"/>
          <w:rFonts w:ascii="楷体_GB2312" w:eastAsia="楷体_GB2312" w:cs="宋体"/>
          <w:b w:val="0"/>
          <w:sz w:val="32"/>
          <w:szCs w:val="32"/>
          <w:shd w:val="clear" w:color="auto" w:fill="FFFFFF"/>
        </w:rPr>
      </w:pPr>
      <w:r>
        <w:rPr>
          <w:rStyle w:val="16"/>
          <w:rFonts w:hint="eastAsia" w:ascii="黑体" w:hAnsi="黑体" w:eastAsia="黑体" w:cs="黑体"/>
          <w:sz w:val="44"/>
          <w:szCs w:val="44"/>
          <w:shd w:val="clear" w:color="auto" w:fill="FFFFFF"/>
        </w:rPr>
        <w:t>第五部分 附件</w:t>
      </w:r>
      <w:bookmarkEnd w:id="35"/>
    </w:p>
    <w:p>
      <w:pPr>
        <w:ind w:firstLine="642" w:firstLineChars="200"/>
        <w:jc w:val="center"/>
        <w:rPr>
          <w:rFonts w:hint="eastAsia" w:cs="黑体" w:asciiTheme="minorEastAsia" w:hAnsiTheme="minorEastAsia"/>
          <w:b/>
          <w:color w:val="000000"/>
          <w:kern w:val="0"/>
          <w:sz w:val="32"/>
          <w:szCs w:val="32"/>
        </w:rPr>
      </w:pPr>
    </w:p>
    <w:p>
      <w:pPr>
        <w:ind w:firstLine="642"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hint="eastAsia" w:ascii="仿宋_GB2312" w:hAnsi="仿宋_GB2312" w:eastAsia="仿宋_GB2312" w:cs="仿宋_GB2312"/>
          <w:b w:val="0"/>
          <w:bCs/>
          <w:color w:val="000000"/>
          <w:kern w:val="0"/>
          <w:sz w:val="32"/>
          <w:szCs w:val="32"/>
          <w:lang w:eastAsia="zh-CN"/>
        </w:rPr>
      </w:pPr>
      <w:r>
        <w:rPr>
          <w:rFonts w:hint="eastAsia" w:ascii="仿宋_GB2312" w:hAnsi="仿宋_GB2312" w:eastAsia="仿宋_GB2312" w:cs="仿宋_GB2312"/>
          <w:b w:val="0"/>
          <w:bCs/>
          <w:color w:val="000000"/>
          <w:kern w:val="0"/>
          <w:sz w:val="32"/>
          <w:szCs w:val="32"/>
          <w:lang w:eastAsia="zh-CN"/>
        </w:rPr>
        <w:t>（</w:t>
      </w:r>
      <w:r>
        <w:rPr>
          <w:rFonts w:hint="eastAsia" w:ascii="仿宋_GB2312" w:hAnsi="仿宋_GB2312" w:eastAsia="仿宋_GB2312" w:cs="仿宋_GB2312"/>
          <w:b w:val="0"/>
          <w:bCs/>
          <w:color w:val="000000"/>
          <w:kern w:val="0"/>
          <w:sz w:val="32"/>
          <w:szCs w:val="32"/>
          <w:lang w:val="en-US" w:eastAsia="zh-CN"/>
        </w:rPr>
        <w:t>https://www.hn.jcy.gov.cn/xwfb/czxx/qtczxxgk/202206/1537346769879302144.html</w:t>
      </w:r>
      <w:r>
        <w:rPr>
          <w:rFonts w:hint="eastAsia" w:ascii="仿宋_GB2312" w:hAnsi="仿宋_GB2312" w:eastAsia="仿宋_GB2312" w:cs="仿宋_GB2312"/>
          <w:b w:val="0"/>
          <w:bCs/>
          <w:color w:val="000000"/>
          <w:kern w:val="0"/>
          <w:sz w:val="32"/>
          <w:szCs w:val="32"/>
          <w:lang w:eastAsia="zh-CN"/>
        </w:rPr>
        <w:t>）</w:t>
      </w:r>
    </w:p>
    <w:p>
      <w:pPr>
        <w:pStyle w:val="13"/>
        <w:adjustRightInd w:val="0"/>
        <w:snapToGrid w:val="0"/>
        <w:spacing w:before="0" w:beforeAutospacing="0" w:after="0" w:afterAutospacing="0" w:line="560" w:lineRule="exact"/>
        <w:ind w:firstLine="640" w:firstLineChars="200"/>
        <w:jc w:val="both"/>
        <w:outlineLvl w:val="1"/>
        <w:rPr>
          <w:rStyle w:val="16"/>
          <w:rFonts w:ascii="楷体_GB2312" w:eastAsia="楷体_GB2312" w:cs="宋体"/>
          <w:b w:val="0"/>
          <w:sz w:val="32"/>
          <w:szCs w:val="32"/>
          <w:shd w:val="clear" w:color="auto" w:fill="FFFFFF"/>
        </w:rPr>
      </w:pPr>
    </w:p>
    <w:sectPr>
      <w:pgSz w:w="11915" w:h="16851"/>
      <w:pgMar w:top="1731"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7AFBA5"/>
    <w:multiLevelType w:val="singleLevel"/>
    <w:tmpl w:val="DF7AFBA5"/>
    <w:lvl w:ilvl="0" w:tentative="0">
      <w:start w:val="1"/>
      <w:numFmt w:val="decimal"/>
      <w:suff w:val="nothing"/>
      <w:lvlText w:val="%1、"/>
      <w:lvlJc w:val="left"/>
    </w:lvl>
  </w:abstractNum>
  <w:abstractNum w:abstractNumId="1">
    <w:nsid w:val="2D8BB5A1"/>
    <w:multiLevelType w:val="singleLevel"/>
    <w:tmpl w:val="2D8BB5A1"/>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doNotCompress"/>
  <w:hdrShapeDefaults>
    <o:shapelayout v:ext="edit">
      <o:idmap v:ext="edit" data="3,4"/>
    </o:shapelayout>
  </w:hdrShapeDefaults>
  <w:compat>
    <w:spaceForUL/>
    <w:doNotExpandShiftReturn/>
    <w:doNotWrapTextWithPunct/>
    <w:doNotUseEastAsianBreakRules/>
    <w:useFELayout/>
    <w:doNotUseIndentAsNumberingTabStop/>
    <w:useAltKinsokuLineBreakRules/>
    <w:compatSetting w:name="compatibilityMode" w:uri="http://schemas.microsoft.com/office/word" w:val="12"/>
  </w:compat>
  <w:rsids>
    <w:rsidRoot w:val="00EC66CC"/>
    <w:rsid w:val="00015CA7"/>
    <w:rsid w:val="0003424B"/>
    <w:rsid w:val="00065A1B"/>
    <w:rsid w:val="000A5402"/>
    <w:rsid w:val="000F3AED"/>
    <w:rsid w:val="001135DF"/>
    <w:rsid w:val="00173BD7"/>
    <w:rsid w:val="001A7D15"/>
    <w:rsid w:val="001C2466"/>
    <w:rsid w:val="001E6CFA"/>
    <w:rsid w:val="001F14FA"/>
    <w:rsid w:val="00203DBD"/>
    <w:rsid w:val="00213694"/>
    <w:rsid w:val="002222B8"/>
    <w:rsid w:val="002237AD"/>
    <w:rsid w:val="00230E07"/>
    <w:rsid w:val="00233D50"/>
    <w:rsid w:val="00246331"/>
    <w:rsid w:val="00264FC6"/>
    <w:rsid w:val="002834D4"/>
    <w:rsid w:val="00287B46"/>
    <w:rsid w:val="00294AFC"/>
    <w:rsid w:val="002A46CB"/>
    <w:rsid w:val="002B6F61"/>
    <w:rsid w:val="002C3F36"/>
    <w:rsid w:val="002C7590"/>
    <w:rsid w:val="002D5BC1"/>
    <w:rsid w:val="003028AF"/>
    <w:rsid w:val="003342B1"/>
    <w:rsid w:val="00362353"/>
    <w:rsid w:val="00384218"/>
    <w:rsid w:val="00405215"/>
    <w:rsid w:val="004205E8"/>
    <w:rsid w:val="00461015"/>
    <w:rsid w:val="004A411F"/>
    <w:rsid w:val="004D192C"/>
    <w:rsid w:val="00501BB5"/>
    <w:rsid w:val="00541068"/>
    <w:rsid w:val="00555B81"/>
    <w:rsid w:val="0058336D"/>
    <w:rsid w:val="0058406C"/>
    <w:rsid w:val="005B073E"/>
    <w:rsid w:val="0060741A"/>
    <w:rsid w:val="006135E4"/>
    <w:rsid w:val="006638F5"/>
    <w:rsid w:val="0066760B"/>
    <w:rsid w:val="006678EB"/>
    <w:rsid w:val="006916AF"/>
    <w:rsid w:val="006973F1"/>
    <w:rsid w:val="00711065"/>
    <w:rsid w:val="00713A46"/>
    <w:rsid w:val="0072261D"/>
    <w:rsid w:val="00737BE1"/>
    <w:rsid w:val="00762623"/>
    <w:rsid w:val="00766512"/>
    <w:rsid w:val="00790AD3"/>
    <w:rsid w:val="007A112E"/>
    <w:rsid w:val="007B2AC6"/>
    <w:rsid w:val="007D61B8"/>
    <w:rsid w:val="007D7C27"/>
    <w:rsid w:val="00836B28"/>
    <w:rsid w:val="00845957"/>
    <w:rsid w:val="00845DEB"/>
    <w:rsid w:val="008642BF"/>
    <w:rsid w:val="008668F3"/>
    <w:rsid w:val="0088259E"/>
    <w:rsid w:val="00887309"/>
    <w:rsid w:val="00890678"/>
    <w:rsid w:val="00894463"/>
    <w:rsid w:val="008B6158"/>
    <w:rsid w:val="008B652E"/>
    <w:rsid w:val="008D7C7B"/>
    <w:rsid w:val="008E294B"/>
    <w:rsid w:val="008F7738"/>
    <w:rsid w:val="0092415A"/>
    <w:rsid w:val="00925036"/>
    <w:rsid w:val="00926E53"/>
    <w:rsid w:val="00933DCB"/>
    <w:rsid w:val="00936E58"/>
    <w:rsid w:val="00994616"/>
    <w:rsid w:val="009C05D6"/>
    <w:rsid w:val="009D48FC"/>
    <w:rsid w:val="00A16A5F"/>
    <w:rsid w:val="00A51815"/>
    <w:rsid w:val="00A60135"/>
    <w:rsid w:val="00A65253"/>
    <w:rsid w:val="00A92C29"/>
    <w:rsid w:val="00AC05C8"/>
    <w:rsid w:val="00AC4378"/>
    <w:rsid w:val="00AE681D"/>
    <w:rsid w:val="00B078AF"/>
    <w:rsid w:val="00B11484"/>
    <w:rsid w:val="00B131D0"/>
    <w:rsid w:val="00B23A22"/>
    <w:rsid w:val="00B23C28"/>
    <w:rsid w:val="00B27C6A"/>
    <w:rsid w:val="00B306DE"/>
    <w:rsid w:val="00B31773"/>
    <w:rsid w:val="00B34B8F"/>
    <w:rsid w:val="00B4008B"/>
    <w:rsid w:val="00B4680F"/>
    <w:rsid w:val="00B835DA"/>
    <w:rsid w:val="00B96FDD"/>
    <w:rsid w:val="00C2044E"/>
    <w:rsid w:val="00C21964"/>
    <w:rsid w:val="00C348C9"/>
    <w:rsid w:val="00C72B51"/>
    <w:rsid w:val="00C7421D"/>
    <w:rsid w:val="00C84B85"/>
    <w:rsid w:val="00CA4829"/>
    <w:rsid w:val="00CC59B5"/>
    <w:rsid w:val="00CF1F20"/>
    <w:rsid w:val="00CF3F85"/>
    <w:rsid w:val="00CF439A"/>
    <w:rsid w:val="00D0361D"/>
    <w:rsid w:val="00D06176"/>
    <w:rsid w:val="00D10644"/>
    <w:rsid w:val="00D26418"/>
    <w:rsid w:val="00D4202F"/>
    <w:rsid w:val="00D427A0"/>
    <w:rsid w:val="00D765F3"/>
    <w:rsid w:val="00D94AE2"/>
    <w:rsid w:val="00DB0AF9"/>
    <w:rsid w:val="00DE66AE"/>
    <w:rsid w:val="00E045B8"/>
    <w:rsid w:val="00E065F9"/>
    <w:rsid w:val="00E40DAC"/>
    <w:rsid w:val="00E44904"/>
    <w:rsid w:val="00E54A33"/>
    <w:rsid w:val="00E83D09"/>
    <w:rsid w:val="00EA1548"/>
    <w:rsid w:val="00EC66CC"/>
    <w:rsid w:val="00ED057D"/>
    <w:rsid w:val="00EE18C2"/>
    <w:rsid w:val="00F03544"/>
    <w:rsid w:val="00F147EF"/>
    <w:rsid w:val="00F448A9"/>
    <w:rsid w:val="00F53C12"/>
    <w:rsid w:val="00F56DAD"/>
    <w:rsid w:val="00F73FEC"/>
    <w:rsid w:val="00FC5E9C"/>
    <w:rsid w:val="01DE6F98"/>
    <w:rsid w:val="039C49E2"/>
    <w:rsid w:val="04027570"/>
    <w:rsid w:val="04DD1284"/>
    <w:rsid w:val="06F250B4"/>
    <w:rsid w:val="07367BE6"/>
    <w:rsid w:val="08D827F0"/>
    <w:rsid w:val="0BC555D1"/>
    <w:rsid w:val="0E306309"/>
    <w:rsid w:val="0F167DB7"/>
    <w:rsid w:val="10E07B77"/>
    <w:rsid w:val="14242D2B"/>
    <w:rsid w:val="154D3F81"/>
    <w:rsid w:val="1590788B"/>
    <w:rsid w:val="17FE9FAD"/>
    <w:rsid w:val="1B931B76"/>
    <w:rsid w:val="1ECA5FDA"/>
    <w:rsid w:val="1FD53042"/>
    <w:rsid w:val="23FB6829"/>
    <w:rsid w:val="268526BC"/>
    <w:rsid w:val="2BFD431C"/>
    <w:rsid w:val="2E77F418"/>
    <w:rsid w:val="2FFF0C96"/>
    <w:rsid w:val="315C6C0B"/>
    <w:rsid w:val="31B5272C"/>
    <w:rsid w:val="333136FF"/>
    <w:rsid w:val="377FF6E6"/>
    <w:rsid w:val="37D9CED9"/>
    <w:rsid w:val="37E14174"/>
    <w:rsid w:val="37FF3C2F"/>
    <w:rsid w:val="397E4A59"/>
    <w:rsid w:val="39FECC4A"/>
    <w:rsid w:val="3A7F2B95"/>
    <w:rsid w:val="3B9466E2"/>
    <w:rsid w:val="3DBB11E1"/>
    <w:rsid w:val="3DBBB9D3"/>
    <w:rsid w:val="3DEFC247"/>
    <w:rsid w:val="3F765DCF"/>
    <w:rsid w:val="3F7D3DBB"/>
    <w:rsid w:val="3FFFFDB6"/>
    <w:rsid w:val="415278F4"/>
    <w:rsid w:val="44DEF33F"/>
    <w:rsid w:val="45ED9C16"/>
    <w:rsid w:val="49CD67CA"/>
    <w:rsid w:val="4F1DF0D3"/>
    <w:rsid w:val="4F9F373D"/>
    <w:rsid w:val="54EB8F03"/>
    <w:rsid w:val="56A12120"/>
    <w:rsid w:val="57FB3A4D"/>
    <w:rsid w:val="59623A75"/>
    <w:rsid w:val="59ADD14B"/>
    <w:rsid w:val="5A347214"/>
    <w:rsid w:val="5A3607FF"/>
    <w:rsid w:val="5A571812"/>
    <w:rsid w:val="5ADF16D1"/>
    <w:rsid w:val="5BBE6C00"/>
    <w:rsid w:val="5BEFDB59"/>
    <w:rsid w:val="5CBB44CE"/>
    <w:rsid w:val="5CDF8C8B"/>
    <w:rsid w:val="5D32FBD3"/>
    <w:rsid w:val="5D720F12"/>
    <w:rsid w:val="5DFD260A"/>
    <w:rsid w:val="5DFDFACC"/>
    <w:rsid w:val="5E698D16"/>
    <w:rsid w:val="5EEF64F4"/>
    <w:rsid w:val="5F535225"/>
    <w:rsid w:val="5F75EBD1"/>
    <w:rsid w:val="5FBF923A"/>
    <w:rsid w:val="5FCFA457"/>
    <w:rsid w:val="5FDD7803"/>
    <w:rsid w:val="5FFF1D8C"/>
    <w:rsid w:val="5FFF42BC"/>
    <w:rsid w:val="63FFBDB3"/>
    <w:rsid w:val="6677C250"/>
    <w:rsid w:val="66FF1568"/>
    <w:rsid w:val="69125CEE"/>
    <w:rsid w:val="69D459D1"/>
    <w:rsid w:val="6A937DCB"/>
    <w:rsid w:val="6C765B12"/>
    <w:rsid w:val="6D297537"/>
    <w:rsid w:val="6D6DA72A"/>
    <w:rsid w:val="6DE8B5B0"/>
    <w:rsid w:val="6DFAE18B"/>
    <w:rsid w:val="6E5A3BF7"/>
    <w:rsid w:val="6EED8355"/>
    <w:rsid w:val="6F93E507"/>
    <w:rsid w:val="6FA60918"/>
    <w:rsid w:val="6FBB9611"/>
    <w:rsid w:val="6FCD292E"/>
    <w:rsid w:val="6FDEFF6D"/>
    <w:rsid w:val="6FFB0D36"/>
    <w:rsid w:val="6FFF1E33"/>
    <w:rsid w:val="715619A3"/>
    <w:rsid w:val="71EF94F4"/>
    <w:rsid w:val="73FE0B2C"/>
    <w:rsid w:val="73FF242D"/>
    <w:rsid w:val="73FF26B3"/>
    <w:rsid w:val="754907DA"/>
    <w:rsid w:val="75FF0D85"/>
    <w:rsid w:val="767D3394"/>
    <w:rsid w:val="76B75506"/>
    <w:rsid w:val="771E7B30"/>
    <w:rsid w:val="77385865"/>
    <w:rsid w:val="77B7568B"/>
    <w:rsid w:val="77EEDF13"/>
    <w:rsid w:val="77EF097B"/>
    <w:rsid w:val="77EF4618"/>
    <w:rsid w:val="77FFF343"/>
    <w:rsid w:val="7A3F87C6"/>
    <w:rsid w:val="7A7F90ED"/>
    <w:rsid w:val="7ABE8E85"/>
    <w:rsid w:val="7ADFD38F"/>
    <w:rsid w:val="7AF4363E"/>
    <w:rsid w:val="7AF88E9A"/>
    <w:rsid w:val="7B574D64"/>
    <w:rsid w:val="7B8AAA1B"/>
    <w:rsid w:val="7BB51441"/>
    <w:rsid w:val="7BFE20AB"/>
    <w:rsid w:val="7C070CC2"/>
    <w:rsid w:val="7C5F12F7"/>
    <w:rsid w:val="7D5E021F"/>
    <w:rsid w:val="7D7F086F"/>
    <w:rsid w:val="7DFF9889"/>
    <w:rsid w:val="7EBFB97C"/>
    <w:rsid w:val="7EED683A"/>
    <w:rsid w:val="7F27E554"/>
    <w:rsid w:val="7F2FBCCB"/>
    <w:rsid w:val="7F3FC534"/>
    <w:rsid w:val="7F5FE47F"/>
    <w:rsid w:val="7F6F0DFE"/>
    <w:rsid w:val="7F7F2A48"/>
    <w:rsid w:val="7F8F101B"/>
    <w:rsid w:val="7FAB564F"/>
    <w:rsid w:val="7FB7D93C"/>
    <w:rsid w:val="7FCF5766"/>
    <w:rsid w:val="7FE89B3E"/>
    <w:rsid w:val="7FED4ED5"/>
    <w:rsid w:val="7FEE726B"/>
    <w:rsid w:val="7FF79F92"/>
    <w:rsid w:val="7FFB8F6D"/>
    <w:rsid w:val="7FFDC03B"/>
    <w:rsid w:val="7FFE0F4D"/>
    <w:rsid w:val="7FFEB7C6"/>
    <w:rsid w:val="86FFC41F"/>
    <w:rsid w:val="96FF83CA"/>
    <w:rsid w:val="97F5AC0C"/>
    <w:rsid w:val="9BFFA190"/>
    <w:rsid w:val="9EEFD3FC"/>
    <w:rsid w:val="9FFC4FD2"/>
    <w:rsid w:val="AF7FAAEC"/>
    <w:rsid w:val="B6B5A1DF"/>
    <w:rsid w:val="B77E3D0F"/>
    <w:rsid w:val="BBBC3132"/>
    <w:rsid w:val="BD7B04F5"/>
    <w:rsid w:val="BF7FA770"/>
    <w:rsid w:val="BFBD0976"/>
    <w:rsid w:val="BFD6EE28"/>
    <w:rsid w:val="BFDE6BB6"/>
    <w:rsid w:val="BFED3661"/>
    <w:rsid w:val="C6DE359E"/>
    <w:rsid w:val="CCED226D"/>
    <w:rsid w:val="CDF6CED9"/>
    <w:rsid w:val="CE5FFAC7"/>
    <w:rsid w:val="CEEA35E7"/>
    <w:rsid w:val="CEF359AC"/>
    <w:rsid w:val="CFD7ADA4"/>
    <w:rsid w:val="CFF9A693"/>
    <w:rsid w:val="D376693E"/>
    <w:rsid w:val="D77F8A1B"/>
    <w:rsid w:val="D8FDA860"/>
    <w:rsid w:val="D9FB9CEF"/>
    <w:rsid w:val="DB472AE6"/>
    <w:rsid w:val="DDF5348B"/>
    <w:rsid w:val="DDF5A700"/>
    <w:rsid w:val="DEDCC390"/>
    <w:rsid w:val="DF3CDBF2"/>
    <w:rsid w:val="DF7FFB43"/>
    <w:rsid w:val="DF87549D"/>
    <w:rsid w:val="DF9E1FCA"/>
    <w:rsid w:val="DF9F65E1"/>
    <w:rsid w:val="DFBBD172"/>
    <w:rsid w:val="DFBE5C59"/>
    <w:rsid w:val="DFF04D72"/>
    <w:rsid w:val="E71A4D7B"/>
    <w:rsid w:val="E7B73F62"/>
    <w:rsid w:val="E972059A"/>
    <w:rsid w:val="E997179E"/>
    <w:rsid w:val="EAEBD555"/>
    <w:rsid w:val="EB7F3C3F"/>
    <w:rsid w:val="EBE702ED"/>
    <w:rsid w:val="EF5EF187"/>
    <w:rsid w:val="EFDF0B6D"/>
    <w:rsid w:val="EFF3A8AF"/>
    <w:rsid w:val="F1FDA3DC"/>
    <w:rsid w:val="F31F905D"/>
    <w:rsid w:val="F3BD992F"/>
    <w:rsid w:val="F5FE3D23"/>
    <w:rsid w:val="F7BD9267"/>
    <w:rsid w:val="F7F6D4E7"/>
    <w:rsid w:val="F7F7FCE8"/>
    <w:rsid w:val="F7FF1EC0"/>
    <w:rsid w:val="F975948D"/>
    <w:rsid w:val="F99FB511"/>
    <w:rsid w:val="F9B78EC6"/>
    <w:rsid w:val="F9F91D28"/>
    <w:rsid w:val="FA37BB97"/>
    <w:rsid w:val="FABFC4E5"/>
    <w:rsid w:val="FB5B82C8"/>
    <w:rsid w:val="FB774DB4"/>
    <w:rsid w:val="FB7DB8CC"/>
    <w:rsid w:val="FBBDAA9C"/>
    <w:rsid w:val="FBFE6171"/>
    <w:rsid w:val="FCE32B66"/>
    <w:rsid w:val="FDAD9239"/>
    <w:rsid w:val="FDBE8857"/>
    <w:rsid w:val="FDD1F96D"/>
    <w:rsid w:val="FDDFEC25"/>
    <w:rsid w:val="FE4E497B"/>
    <w:rsid w:val="FEFF010E"/>
    <w:rsid w:val="FEFF835A"/>
    <w:rsid w:val="FF4DC777"/>
    <w:rsid w:val="FF670D71"/>
    <w:rsid w:val="FF76392A"/>
    <w:rsid w:val="FFB703CD"/>
    <w:rsid w:val="FFBE1C10"/>
    <w:rsid w:val="FFBFCDA5"/>
    <w:rsid w:val="FFBFF2B8"/>
    <w:rsid w:val="FFD3A741"/>
    <w:rsid w:val="FFDF2FD9"/>
    <w:rsid w:val="FFE71D0C"/>
    <w:rsid w:val="FFEBE383"/>
    <w:rsid w:val="FFF5BE74"/>
    <w:rsid w:val="FFF62677"/>
    <w:rsid w:val="FFF76034"/>
    <w:rsid w:val="FFFBFB6A"/>
    <w:rsid w:val="FFFD0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Times New Roman"/>
      <w:sz w:val="24"/>
      <w:szCs w:val="24"/>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b/>
      <w:kern w:val="44"/>
      <w:sz w:val="48"/>
      <w:szCs w:val="48"/>
    </w:rPr>
  </w:style>
  <w:style w:type="paragraph" w:styleId="3">
    <w:name w:val="heading 2"/>
    <w:basedOn w:val="1"/>
    <w:next w:val="1"/>
    <w:qFormat/>
    <w:uiPriority w:val="9"/>
    <w:pPr>
      <w:spacing w:before="100" w:beforeAutospacing="1" w:after="100" w:afterAutospacing="1"/>
      <w:outlineLvl w:val="1"/>
    </w:pPr>
    <w:rPr>
      <w:rFonts w:hint="eastAsia"/>
      <w:b/>
      <w:sz w:val="36"/>
      <w:szCs w:val="36"/>
    </w:rPr>
  </w:style>
  <w:style w:type="paragraph" w:styleId="4">
    <w:name w:val="heading 3"/>
    <w:basedOn w:val="1"/>
    <w:next w:val="1"/>
    <w:qFormat/>
    <w:uiPriority w:val="9"/>
    <w:pPr>
      <w:spacing w:before="100" w:beforeAutospacing="1" w:after="100" w:afterAutospacing="1"/>
      <w:outlineLvl w:val="2"/>
    </w:pPr>
    <w:rPr>
      <w:rFonts w:hint="eastAsia"/>
      <w:b/>
      <w:sz w:val="27"/>
      <w:szCs w:val="27"/>
    </w:rPr>
  </w:style>
  <w:style w:type="paragraph" w:styleId="5">
    <w:name w:val="heading 4"/>
    <w:basedOn w:val="1"/>
    <w:next w:val="1"/>
    <w:qFormat/>
    <w:uiPriority w:val="9"/>
    <w:pPr>
      <w:spacing w:before="100" w:beforeAutospacing="1" w:after="100" w:afterAutospacing="1"/>
      <w:outlineLvl w:val="3"/>
    </w:pPr>
    <w:rPr>
      <w:rFonts w:hint="eastAsia"/>
      <w:b/>
    </w:rPr>
  </w:style>
  <w:style w:type="paragraph" w:styleId="6">
    <w:name w:val="heading 5"/>
    <w:basedOn w:val="1"/>
    <w:next w:val="1"/>
    <w:qFormat/>
    <w:uiPriority w:val="9"/>
    <w:pPr>
      <w:spacing w:before="100" w:beforeAutospacing="1" w:after="100" w:afterAutospacing="1"/>
      <w:outlineLvl w:val="4"/>
    </w:pPr>
    <w:rPr>
      <w:rFonts w:hint="eastAsia"/>
      <w:b/>
      <w:sz w:val="20"/>
      <w:szCs w:val="20"/>
    </w:rPr>
  </w:style>
  <w:style w:type="paragraph" w:styleId="7">
    <w:name w:val="heading 6"/>
    <w:basedOn w:val="1"/>
    <w:next w:val="1"/>
    <w:qFormat/>
    <w:uiPriority w:val="9"/>
    <w:pPr>
      <w:spacing w:before="100" w:beforeAutospacing="1" w:after="100" w:afterAutospacing="1"/>
      <w:outlineLvl w:val="5"/>
    </w:pPr>
    <w:rPr>
      <w:rFonts w:hint="eastAsia"/>
      <w:b/>
      <w:sz w:val="15"/>
      <w:szCs w:val="15"/>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footer"/>
    <w:basedOn w:val="1"/>
    <w:unhideWhenUsed/>
    <w:qFormat/>
    <w:uiPriority w:val="99"/>
    <w:pPr>
      <w:tabs>
        <w:tab w:val="center" w:pos="4153"/>
        <w:tab w:val="right" w:pos="8306"/>
      </w:tabs>
      <w:snapToGrid w:val="0"/>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13">
    <w:name w:val="Normal (Web)"/>
    <w:basedOn w:val="1"/>
    <w:unhideWhenUsed/>
    <w:qFormat/>
    <w:uiPriority w:val="99"/>
    <w:pPr>
      <w:spacing w:before="100" w:beforeAutospacing="1" w:after="100" w:afterAutospacing="1"/>
    </w:pPr>
  </w:style>
  <w:style w:type="character" w:styleId="16">
    <w:name w:val="Strong"/>
    <w:basedOn w:val="15"/>
    <w:qFormat/>
    <w:uiPriority w:val="22"/>
    <w:rPr>
      <w:b/>
    </w:rPr>
  </w:style>
  <w:style w:type="character" w:styleId="17">
    <w:name w:val="FollowedHyperlink"/>
    <w:basedOn w:val="15"/>
    <w:semiHidden/>
    <w:unhideWhenUsed/>
    <w:qFormat/>
    <w:uiPriority w:val="99"/>
    <w:rPr>
      <w:color w:val="800080"/>
      <w:u w:val="single"/>
    </w:rPr>
  </w:style>
  <w:style w:type="character" w:styleId="18">
    <w:name w:val="Emphasis"/>
    <w:basedOn w:val="15"/>
    <w:qFormat/>
    <w:uiPriority w:val="20"/>
    <w:rPr>
      <w:i/>
    </w:rPr>
  </w:style>
  <w:style w:type="character" w:styleId="19">
    <w:name w:val="Hyperlink"/>
    <w:basedOn w:val="15"/>
    <w:semiHidden/>
    <w:unhideWhenUsed/>
    <w:qFormat/>
    <w:uiPriority w:val="99"/>
    <w:rPr>
      <w:color w:val="0000FF"/>
      <w:u w:val="single"/>
    </w:rPr>
  </w:style>
  <w:style w:type="character" w:customStyle="1" w:styleId="20">
    <w:name w:val="bsharetext"/>
    <w:basedOn w:val="15"/>
    <w:qFormat/>
    <w:uiPriority w:val="0"/>
  </w:style>
  <w:style w:type="character" w:customStyle="1" w:styleId="21">
    <w:name w:val="p12_blue"/>
    <w:basedOn w:val="15"/>
    <w:qFormat/>
    <w:uiPriority w:val="0"/>
  </w:style>
  <w:style w:type="paragraph" w:customStyle="1" w:styleId="22">
    <w:name w:val="WPSOffice手动目录 1"/>
    <w:qFormat/>
    <w:uiPriority w:val="0"/>
    <w:rPr>
      <w:rFonts w:ascii="Times New Roman" w:hAnsi="Times New Roman" w:eastAsia="宋体" w:cs="Times New Roman"/>
      <w:lang w:val="en-US" w:eastAsia="zh-CN" w:bidi="ar-SA"/>
    </w:rPr>
  </w:style>
  <w:style w:type="paragraph" w:customStyle="1" w:styleId="23">
    <w:name w:val="分类号"/>
    <w:basedOn w:val="1"/>
    <w:qFormat/>
    <w:uiPriority w:val="0"/>
    <w:pPr>
      <w:widowControl w:val="0"/>
      <w:jc w:val="both"/>
    </w:pPr>
    <w:rPr>
      <w:rFonts w:ascii="仿宋_GB2312" w:hAnsi="Times New Roman" w:eastAsia="仿宋_GB2312"/>
      <w:kern w:val="2"/>
      <w:sz w:val="28"/>
      <w:szCs w:val="28"/>
    </w:rPr>
  </w:style>
  <w:style w:type="paragraph" w:customStyle="1" w:styleId="24">
    <w:name w:val="封面日期"/>
    <w:basedOn w:val="1"/>
    <w:qFormat/>
    <w:uiPriority w:val="0"/>
    <w:pPr>
      <w:widowControl w:val="0"/>
      <w:jc w:val="center"/>
    </w:pPr>
    <w:rPr>
      <w:rFonts w:ascii="黑体" w:hAnsi="Times New Roman" w:eastAsia="黑体"/>
      <w:kern w:val="2"/>
      <w:sz w:val="32"/>
      <w:szCs w:val="32"/>
    </w:rPr>
  </w:style>
  <w:style w:type="paragraph" w:customStyle="1" w:styleId="25">
    <w:name w:val="论文标题"/>
    <w:basedOn w:val="1"/>
    <w:qFormat/>
    <w:uiPriority w:val="0"/>
    <w:pPr>
      <w:widowControl w:val="0"/>
      <w:jc w:val="center"/>
    </w:pPr>
    <w:rPr>
      <w:rFonts w:ascii="Times New Roman" w:hAnsi="Times New Roman" w:eastAsia="楷体_GB2312"/>
      <w:b/>
      <w:kern w:val="36"/>
      <w:sz w:val="52"/>
      <w:szCs w:val="52"/>
    </w:rPr>
  </w:style>
  <w:style w:type="paragraph" w:customStyle="1" w:styleId="26">
    <w:name w:val="普通(网站)1"/>
    <w:basedOn w:val="1"/>
    <w:qFormat/>
    <w:uiPriority w:val="0"/>
    <w:pPr>
      <w:spacing w:before="100" w:beforeAutospacing="1" w:after="100" w:afterAutospacing="1"/>
    </w:p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硕士学位论文"/>
    <w:basedOn w:val="1"/>
    <w:qFormat/>
    <w:uiPriority w:val="0"/>
    <w:pPr>
      <w:widowControl w:val="0"/>
      <w:spacing w:before="240"/>
      <w:jc w:val="center"/>
    </w:pPr>
    <w:rPr>
      <w:rFonts w:ascii="Times New Roman" w:hAnsi="Times New Roman"/>
      <w:kern w:val="2"/>
      <w:sz w:val="44"/>
      <w:szCs w:val="44"/>
    </w:rPr>
  </w:style>
  <w:style w:type="paragraph" w:customStyle="1" w:styleId="29">
    <w:name w:val="研究生姓名"/>
    <w:basedOn w:val="1"/>
    <w:qFormat/>
    <w:uiPriority w:val="0"/>
    <w:pPr>
      <w:widowControl w:val="0"/>
      <w:ind w:firstLine="700" w:firstLineChars="700"/>
      <w:jc w:val="both"/>
    </w:pPr>
    <w:rPr>
      <w:rFonts w:ascii="Times New Roman" w:hAnsi="Times New Roman"/>
      <w:kern w:val="2"/>
      <w:sz w:val="28"/>
      <w:szCs w:val="28"/>
    </w:rPr>
  </w:style>
  <w:style w:type="paragraph" w:customStyle="1" w:styleId="3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1">
    <w:name w:val="xl65"/>
    <w:basedOn w:val="1"/>
    <w:qFormat/>
    <w:uiPriority w:val="0"/>
    <w:pPr>
      <w:shd w:val="clear" w:color="000000" w:fill="FFFFFF"/>
      <w:spacing w:before="100" w:beforeAutospacing="1" w:after="100" w:afterAutospacing="1"/>
      <w:textAlignment w:val="center"/>
    </w:pPr>
    <w:rPr>
      <w:rFonts w:cs="宋体"/>
      <w:sz w:val="18"/>
      <w:szCs w:val="18"/>
    </w:rPr>
  </w:style>
  <w:style w:type="paragraph" w:customStyle="1" w:styleId="32">
    <w:name w:val="xl66"/>
    <w:basedOn w:val="1"/>
    <w:qFormat/>
    <w:uiPriority w:val="0"/>
    <w:pPr>
      <w:pBdr>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3">
    <w:name w:val="xl67"/>
    <w:basedOn w:val="1"/>
    <w:qFormat/>
    <w:uiPriority w:val="0"/>
    <w:pPr>
      <w:pBdr>
        <w:bottom w:val="single" w:color="808080" w:sz="4" w:space="0"/>
      </w:pBdr>
      <w:shd w:val="clear" w:color="000000" w:fill="FFFFFF"/>
      <w:spacing w:before="100" w:beforeAutospacing="1" w:after="100" w:afterAutospacing="1"/>
      <w:textAlignment w:val="center"/>
    </w:pPr>
    <w:rPr>
      <w:rFonts w:cs="宋体"/>
      <w:color w:val="000000"/>
      <w:sz w:val="22"/>
      <w:szCs w:val="22"/>
    </w:rPr>
  </w:style>
  <w:style w:type="paragraph" w:customStyle="1" w:styleId="34">
    <w:name w:val="xl68"/>
    <w:basedOn w:val="1"/>
    <w:qFormat/>
    <w:uiPriority w:val="0"/>
    <w:pPr>
      <w:pBdr>
        <w:bottom w:val="single" w:color="808080" w:sz="4" w:space="0"/>
      </w:pBdr>
      <w:shd w:val="clear" w:color="000000" w:fill="FFFFFF"/>
      <w:spacing w:before="100" w:beforeAutospacing="1" w:after="100" w:afterAutospacing="1"/>
      <w:textAlignment w:val="center"/>
    </w:pPr>
    <w:rPr>
      <w:rFonts w:cs="宋体"/>
      <w:sz w:val="18"/>
      <w:szCs w:val="18"/>
    </w:rPr>
  </w:style>
  <w:style w:type="paragraph" w:customStyle="1" w:styleId="35">
    <w:name w:val="xl69"/>
    <w:basedOn w:val="1"/>
    <w:qFormat/>
    <w:uiPriority w:val="0"/>
    <w:pPr>
      <w:pBdr>
        <w:bottom w:val="single" w:color="808080" w:sz="4" w:space="0"/>
        <w:right w:val="single" w:color="808080" w:sz="4" w:space="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36">
    <w:name w:val="xl70"/>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rPr>
  </w:style>
  <w:style w:type="paragraph" w:customStyle="1" w:styleId="37">
    <w:name w:val="xl71"/>
    <w:basedOn w:val="1"/>
    <w:qFormat/>
    <w:uiPriority w:val="0"/>
    <w:pPr>
      <w:pBdr>
        <w:bottom w:val="single" w:color="808080" w:sz="4" w:space="0"/>
      </w:pBdr>
      <w:shd w:val="clear" w:color="000000" w:fill="FFFFFF"/>
      <w:spacing w:before="100" w:beforeAutospacing="1" w:after="100" w:afterAutospacing="1"/>
      <w:jc w:val="center"/>
      <w:textAlignment w:val="center"/>
    </w:pPr>
    <w:rPr>
      <w:rFonts w:cs="宋体"/>
      <w:color w:val="000000"/>
      <w:sz w:val="22"/>
      <w:szCs w:val="22"/>
    </w:rPr>
  </w:style>
  <w:style w:type="paragraph" w:customStyle="1" w:styleId="38">
    <w:name w:val="xl72"/>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39">
    <w:name w:val="xl73"/>
    <w:basedOn w:val="1"/>
    <w:qFormat/>
    <w:uiPriority w:val="0"/>
    <w:pPr>
      <w:pBdr>
        <w:bottom w:val="single" w:color="000000" w:sz="4" w:space="0"/>
        <w:right w:val="single" w:color="000000" w:sz="4" w:space="0"/>
      </w:pBdr>
      <w:shd w:val="clear" w:color="000000" w:fill="FFFFFF"/>
      <w:spacing w:before="100" w:beforeAutospacing="1" w:after="100" w:afterAutospacing="1"/>
      <w:jc w:val="right"/>
      <w:textAlignment w:val="center"/>
    </w:pPr>
    <w:rPr>
      <w:rFonts w:cs="宋体"/>
      <w:b/>
      <w:bCs/>
    </w:rPr>
  </w:style>
  <w:style w:type="paragraph" w:customStyle="1" w:styleId="40">
    <w:name w:val="xl74"/>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41">
    <w:name w:val="xl75"/>
    <w:basedOn w:val="1"/>
    <w:qFormat/>
    <w:uiPriority w:val="0"/>
    <w:pPr>
      <w:pBdr>
        <w:bottom w:val="single" w:color="000000" w:sz="4" w:space="0"/>
        <w:right w:val="single" w:color="000000" w:sz="4" w:space="0"/>
      </w:pBdr>
      <w:shd w:val="clear" w:color="000000" w:fill="C0C0C0"/>
      <w:spacing w:before="100" w:beforeAutospacing="1" w:after="100" w:afterAutospacing="1"/>
      <w:jc w:val="right"/>
      <w:textAlignment w:val="center"/>
    </w:pPr>
    <w:rPr>
      <w:rFonts w:cs="宋体"/>
      <w:b/>
      <w:bCs/>
    </w:rPr>
  </w:style>
  <w:style w:type="paragraph" w:customStyle="1" w:styleId="42">
    <w:name w:val="xl76"/>
    <w:basedOn w:val="1"/>
    <w:qFormat/>
    <w:uiPriority w:val="0"/>
    <w:pPr>
      <w:pBdr>
        <w:bottom w:val="single" w:color="000000" w:sz="4" w:space="0"/>
        <w:right w:val="single" w:color="000000" w:sz="4" w:space="0"/>
      </w:pBdr>
      <w:shd w:val="clear" w:color="000000" w:fill="C0C0C0"/>
      <w:spacing w:before="100" w:beforeAutospacing="1" w:after="100" w:afterAutospacing="1"/>
      <w:textAlignment w:val="center"/>
    </w:pPr>
    <w:rPr>
      <w:rFonts w:cs="宋体"/>
      <w:b/>
      <w:bCs/>
      <w:sz w:val="18"/>
      <w:szCs w:val="18"/>
    </w:rPr>
  </w:style>
  <w:style w:type="paragraph" w:customStyle="1" w:styleId="43">
    <w:name w:val="xl77"/>
    <w:basedOn w:val="1"/>
    <w:qFormat/>
    <w:uiPriority w:val="0"/>
    <w:pPr>
      <w:pBdr>
        <w:bottom w:val="single" w:color="000000" w:sz="4" w:space="0"/>
        <w:right w:val="single" w:color="000000" w:sz="4" w:space="0"/>
      </w:pBdr>
      <w:shd w:val="clear" w:color="000000" w:fill="CCFFFF"/>
      <w:spacing w:before="100" w:beforeAutospacing="1" w:after="100" w:afterAutospacing="1"/>
      <w:textAlignment w:val="center"/>
    </w:pPr>
    <w:rPr>
      <w:rFonts w:cs="宋体"/>
    </w:rPr>
  </w:style>
  <w:style w:type="paragraph" w:customStyle="1" w:styleId="44">
    <w:name w:val="xl78"/>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rPr>
  </w:style>
  <w:style w:type="paragraph" w:customStyle="1" w:styleId="45">
    <w:name w:val="xl79"/>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46">
    <w:name w:val="xl80"/>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47">
    <w:name w:val="xl81"/>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48">
    <w:name w:val="xl82"/>
    <w:basedOn w:val="1"/>
    <w:qFormat/>
    <w:uiPriority w:val="0"/>
    <w:pPr>
      <w:pBdr>
        <w:left w:val="single" w:color="000000" w:sz="4" w:space="0"/>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49">
    <w:name w:val="xl83"/>
    <w:basedOn w:val="1"/>
    <w:qFormat/>
    <w:uiPriority w:val="0"/>
    <w:pPr>
      <w:pBdr>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0">
    <w:name w:val="xl84"/>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1">
    <w:name w:val="xl85"/>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jc w:val="center"/>
      <w:textAlignment w:val="center"/>
    </w:pPr>
    <w:rPr>
      <w:rFonts w:cs="宋体"/>
    </w:rPr>
  </w:style>
  <w:style w:type="paragraph" w:customStyle="1" w:styleId="52">
    <w:name w:val="xl86"/>
    <w:basedOn w:val="1"/>
    <w:qFormat/>
    <w:uiPriority w:val="0"/>
    <w:pPr>
      <w:pBdr>
        <w:bottom w:val="single" w:color="000000" w:sz="4" w:space="0"/>
        <w:right w:val="single" w:color="000000" w:sz="4" w:space="0"/>
      </w:pBdr>
      <w:spacing w:before="100" w:beforeAutospacing="1" w:after="100" w:afterAutospacing="1"/>
      <w:jc w:val="center"/>
      <w:textAlignment w:val="center"/>
    </w:pPr>
    <w:rPr>
      <w:rFonts w:cs="宋体"/>
    </w:rPr>
  </w:style>
  <w:style w:type="paragraph" w:customStyle="1" w:styleId="53">
    <w:name w:val="xl87"/>
    <w:basedOn w:val="1"/>
    <w:qFormat/>
    <w:uiPriority w:val="0"/>
    <w:pPr>
      <w:pBdr>
        <w:left w:val="single" w:color="000000" w:sz="4" w:space="0"/>
        <w:bottom w:val="single" w:color="000000" w:sz="4" w:space="0"/>
        <w:right w:val="single" w:color="000000" w:sz="4" w:space="0"/>
      </w:pBdr>
      <w:shd w:val="clear" w:color="000000" w:fill="C0C0C0"/>
      <w:spacing w:before="100" w:beforeAutospacing="1" w:after="100" w:afterAutospacing="1"/>
      <w:textAlignment w:val="center"/>
    </w:pPr>
    <w:rPr>
      <w:rFonts w:cs="宋体"/>
      <w:b/>
      <w:bCs/>
    </w:rPr>
  </w:style>
  <w:style w:type="paragraph" w:customStyle="1" w:styleId="54">
    <w:name w:val="xl88"/>
    <w:basedOn w:val="1"/>
    <w:qFormat/>
    <w:uiPriority w:val="0"/>
    <w:pPr>
      <w:pBdr>
        <w:bottom w:val="single" w:color="000000" w:sz="4" w:space="0"/>
        <w:right w:val="single" w:color="000000" w:sz="4" w:space="0"/>
      </w:pBdr>
      <w:spacing w:before="100" w:beforeAutospacing="1" w:after="100" w:afterAutospacing="1"/>
      <w:textAlignment w:val="center"/>
    </w:pPr>
    <w:rPr>
      <w:rFonts w:cs="宋体"/>
    </w:rPr>
  </w:style>
  <w:style w:type="paragraph" w:customStyle="1" w:styleId="55">
    <w:name w:val="xl89"/>
    <w:basedOn w:val="1"/>
    <w:qFormat/>
    <w:uiPriority w:val="0"/>
    <w:pPr>
      <w:pBdr>
        <w:left w:val="single" w:color="000000" w:sz="4" w:space="0"/>
        <w:bottom w:val="single" w:color="000000" w:sz="4" w:space="0"/>
        <w:right w:val="single" w:color="000000" w:sz="4" w:space="0"/>
      </w:pBdr>
      <w:shd w:val="clear" w:color="000000" w:fill="FFFFFF"/>
      <w:spacing w:before="100" w:beforeAutospacing="1" w:after="100" w:afterAutospacing="1"/>
      <w:textAlignment w:val="center"/>
    </w:pPr>
    <w:rPr>
      <w:rFonts w:cs="宋体"/>
    </w:rPr>
  </w:style>
  <w:style w:type="paragraph" w:customStyle="1" w:styleId="56">
    <w:name w:val="xl90"/>
    <w:basedOn w:val="1"/>
    <w:qFormat/>
    <w:uiPriority w:val="0"/>
    <w:pPr>
      <w:shd w:val="clear" w:color="000000" w:fill="FFFFFF"/>
      <w:spacing w:before="100" w:beforeAutospacing="1" w:after="100" w:afterAutospacing="1"/>
      <w:textAlignment w:val="center"/>
    </w:pPr>
    <w:rPr>
      <w:rFonts w:cs="宋体"/>
    </w:rPr>
  </w:style>
  <w:style w:type="paragraph" w:customStyle="1" w:styleId="57">
    <w:name w:val="xl91"/>
    <w:basedOn w:val="1"/>
    <w:qFormat/>
    <w:uiPriority w:val="0"/>
    <w:pPr>
      <w:spacing w:before="100" w:beforeAutospacing="1" w:after="100" w:afterAutospacing="1"/>
      <w:textAlignment w:val="center"/>
    </w:pPr>
    <w:rPr>
      <w:rFonts w:cs="宋体"/>
    </w:rPr>
  </w:style>
  <w:style w:type="paragraph" w:styleId="58">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2073</Words>
  <Characters>11817</Characters>
  <Lines>98</Lines>
  <Paragraphs>27</Paragraphs>
  <TotalTime>187</TotalTime>
  <ScaleCrop>false</ScaleCrop>
  <LinksUpToDate>false</LinksUpToDate>
  <CharactersWithSpaces>13863</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2021-08-25T16:42:00Z</dcterms:created>
  <dc:creator>xiaofei li</dc:creator>
  <cp:lastModifiedBy>greatwall</cp:lastModifiedBy>
  <cp:lastPrinted>2021-09-14T17:55:00Z</cp:lastPrinted>
  <dcterms:modified xsi:type="dcterms:W3CDTF">2022-10-26T15:42:56Z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