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3"/>
        <w:spacing w:before="0" w:beforeAutospacing="0"/>
        <w:jc w:val="center"/>
        <w:rPr>
          <w:rFonts w:cs="宋体"/>
          <w:b/>
          <w:bCs/>
          <w:sz w:val="44"/>
          <w:szCs w:val="44"/>
          <w:shd w:val="clear" w:color="auto" w:fill="FFFFFF"/>
        </w:rPr>
      </w:pPr>
    </w:p>
    <w:p>
      <w:pPr>
        <w:pStyle w:val="13"/>
        <w:spacing w:before="0" w:beforeAutospacing="0"/>
        <w:jc w:val="center"/>
        <w:rPr>
          <w:rFonts w:cs="宋体"/>
          <w:b/>
          <w:bCs/>
          <w:sz w:val="44"/>
          <w:szCs w:val="44"/>
          <w:shd w:val="clear" w:color="auto" w:fill="FFFFFF"/>
        </w:rPr>
      </w:pPr>
    </w:p>
    <w:p>
      <w:pPr>
        <w:pStyle w:val="13"/>
        <w:spacing w:before="0" w:beforeAutospacing="0"/>
        <w:jc w:val="center"/>
        <w:rPr>
          <w:rFonts w:cs="宋体"/>
          <w:b/>
          <w:bCs/>
          <w:sz w:val="44"/>
          <w:szCs w:val="44"/>
          <w:shd w:val="clear" w:color="auto" w:fill="FFFFFF"/>
        </w:rPr>
      </w:pPr>
    </w:p>
    <w:p>
      <w:pPr>
        <w:pStyle w:val="13"/>
        <w:spacing w:before="0" w:beforeAutospacing="0"/>
        <w:jc w:val="center"/>
        <w:rPr>
          <w:rFonts w:cs="宋体"/>
          <w:b/>
          <w:bCs/>
          <w:sz w:val="44"/>
          <w:szCs w:val="44"/>
          <w:shd w:val="clear" w:color="auto" w:fill="FFFFFF"/>
        </w:rPr>
      </w:pPr>
    </w:p>
    <w:p>
      <w:pPr>
        <w:pStyle w:val="13"/>
        <w:spacing w:before="0" w:beforeAutospacing="0"/>
        <w:jc w:val="center"/>
        <w:rPr>
          <w:rFonts w:cs="宋体"/>
          <w:b/>
          <w:bCs/>
          <w:sz w:val="44"/>
          <w:szCs w:val="44"/>
          <w:shd w:val="clear" w:color="auto" w:fill="FFFFFF"/>
        </w:rPr>
      </w:pPr>
    </w:p>
    <w:p>
      <w:pPr>
        <w:pStyle w:val="13"/>
        <w:spacing w:before="0" w:beforeAutospacing="0"/>
        <w:jc w:val="center"/>
        <w:rPr>
          <w:rFonts w:cs="宋体"/>
          <w:b/>
          <w:bCs/>
          <w:sz w:val="44"/>
          <w:szCs w:val="44"/>
          <w:shd w:val="clear" w:color="auto" w:fill="FFFFFF"/>
        </w:rPr>
      </w:pPr>
    </w:p>
    <w:p>
      <w:pPr>
        <w:pStyle w:val="13"/>
        <w:spacing w:before="0" w:beforeAutospacing="0"/>
        <w:jc w:val="center"/>
        <w:rPr>
          <w:rFonts w:cs="宋体"/>
          <w:b/>
          <w:bCs/>
          <w:sz w:val="44"/>
          <w:szCs w:val="44"/>
          <w:shd w:val="clear" w:color="auto" w:fill="FFFFFF"/>
        </w:rPr>
      </w:pPr>
    </w:p>
    <w:p>
      <w:pPr>
        <w:pStyle w:val="13"/>
        <w:spacing w:before="0" w:beforeAutospacing="0"/>
        <w:jc w:val="center"/>
        <w:rPr>
          <w:rFonts w:cs="宋体"/>
          <w:b/>
          <w:bCs/>
          <w:sz w:val="44"/>
          <w:szCs w:val="44"/>
        </w:rPr>
      </w:pPr>
      <w:r>
        <w:rPr>
          <w:rFonts w:hint="eastAsia" w:cs="宋体"/>
          <w:b/>
          <w:bCs/>
          <w:sz w:val="44"/>
          <w:szCs w:val="44"/>
          <w:shd w:val="clear" w:color="auto" w:fill="FFFFFF"/>
        </w:rPr>
        <w:t>2020年度</w:t>
      </w:r>
    </w:p>
    <w:p>
      <w:pPr>
        <w:pStyle w:val="13"/>
        <w:spacing w:before="0" w:beforeAutospacing="0"/>
        <w:jc w:val="center"/>
        <w:rPr>
          <w:shd w:val="clear" w:color="auto" w:fill="FFFFFF"/>
        </w:rPr>
      </w:pPr>
      <w:r>
        <w:rPr>
          <w:rFonts w:hint="eastAsia" w:cs="宋体"/>
          <w:b/>
          <w:bCs/>
          <w:sz w:val="44"/>
          <w:szCs w:val="44"/>
          <w:shd w:val="clear" w:color="auto" w:fill="FFFFFF"/>
        </w:rPr>
        <w:t>常德市武陵区人民检察院部门决算</w:t>
      </w:r>
    </w:p>
    <w:p>
      <w:pPr>
        <w:pStyle w:val="13"/>
        <w:spacing w:before="0" w:beforeAutospacing="0"/>
        <w:jc w:val="center"/>
        <w:rPr>
          <w:shd w:val="clear" w:color="auto" w:fill="FFFFFF"/>
        </w:rPr>
      </w:pPr>
    </w:p>
    <w:p>
      <w:pPr>
        <w:pStyle w:val="13"/>
        <w:adjustRightInd w:val="0"/>
        <w:snapToGrid w:val="0"/>
        <w:spacing w:before="0" w:beforeAutospacing="0" w:line="580" w:lineRule="exact"/>
        <w:jc w:val="center"/>
        <w:rPr>
          <w:b/>
          <w:bCs/>
          <w:sz w:val="32"/>
          <w:szCs w:val="32"/>
          <w:shd w:val="clear" w:color="auto" w:fill="FFFFFF"/>
        </w:rPr>
      </w:pPr>
    </w:p>
    <w:p>
      <w:pPr>
        <w:pStyle w:val="13"/>
        <w:adjustRightInd w:val="0"/>
        <w:snapToGrid w:val="0"/>
        <w:spacing w:before="0" w:beforeAutospacing="0" w:line="580" w:lineRule="exact"/>
        <w:jc w:val="center"/>
        <w:rPr>
          <w:shd w:val="clear" w:color="auto" w:fill="FFFFFF"/>
        </w:rPr>
        <w:sectPr>
          <w:headerReference r:id="rId3" w:type="default"/>
          <w:pgSz w:w="11915" w:h="16851"/>
          <w:pgMar w:top="1440" w:right="1800" w:bottom="1440" w:left="1800" w:header="851" w:footer="992" w:gutter="0"/>
          <w:cols w:space="720" w:num="1"/>
          <w:docGrid w:type="lines" w:linePitch="312" w:charSpace="0"/>
        </w:sectPr>
      </w:pPr>
    </w:p>
    <w:p>
      <w:pPr>
        <w:pStyle w:val="30"/>
        <w:snapToGrid w:val="0"/>
        <w:spacing w:line="580" w:lineRule="exact"/>
        <w:jc w:val="center"/>
        <w:rPr>
          <w:sz w:val="36"/>
          <w:szCs w:val="28"/>
        </w:rPr>
      </w:pPr>
      <w:r>
        <w:rPr>
          <w:rFonts w:hint="eastAsia"/>
          <w:sz w:val="36"/>
          <w:szCs w:val="28"/>
        </w:rPr>
        <w:t>目录</w:t>
      </w:r>
    </w:p>
    <w:p>
      <w:pPr>
        <w:pStyle w:val="30"/>
        <w:snapToGrid w:val="0"/>
        <w:spacing w:line="580" w:lineRule="exact"/>
        <w:ind w:firstLine="560" w:firstLineChars="200"/>
        <w:rPr>
          <w:rFonts w:ascii="仿宋_GB2312" w:hAnsi="仿宋_GB2312" w:cs="仿宋_GB2312"/>
          <w:sz w:val="28"/>
          <w:szCs w:val="28"/>
        </w:rPr>
      </w:pPr>
      <w:r>
        <w:rPr>
          <w:rFonts w:hint="eastAsia"/>
          <w:sz w:val="28"/>
          <w:szCs w:val="28"/>
        </w:rPr>
        <w:t>第一部分常德市武陵区人民检察院概况</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一、部门职责</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二、机构设置</w:t>
      </w:r>
    </w:p>
    <w:p>
      <w:pPr>
        <w:pStyle w:val="30"/>
        <w:snapToGrid w:val="0"/>
        <w:spacing w:line="580" w:lineRule="exact"/>
        <w:ind w:firstLine="560" w:firstLineChars="200"/>
        <w:rPr>
          <w:rFonts w:ascii="仿宋_GB2312" w:hAnsi="仿宋_GB2312" w:cs="仿宋_GB2312"/>
          <w:sz w:val="28"/>
          <w:szCs w:val="28"/>
        </w:rPr>
      </w:pPr>
      <w:r>
        <w:rPr>
          <w:rFonts w:hint="eastAsia" w:hAnsi="仿宋_GB2312"/>
          <w:sz w:val="28"/>
          <w:szCs w:val="28"/>
        </w:rPr>
        <w:t>第二部分</w:t>
      </w:r>
      <w:r>
        <w:rPr>
          <w:rFonts w:hAnsi="仿宋_GB2312"/>
          <w:sz w:val="28"/>
          <w:szCs w:val="28"/>
        </w:rPr>
        <w:t>20</w:t>
      </w:r>
      <w:r>
        <w:rPr>
          <w:rFonts w:hint="eastAsia" w:hAnsi="仿宋_GB2312"/>
          <w:sz w:val="28"/>
          <w:szCs w:val="28"/>
        </w:rPr>
        <w:t>20年度部门决算表</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一、收入支出决算总表</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二、收入决算表</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三、支出决算表</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四、财政拨款收入支出决算总表</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五、一般公共预算财政拨款支出决算表</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六、一般公共预算财政拨款基本支出决算表</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七、一般公共预算财政拨款“三公”经费支出决算表</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八、政府性基金预算财政拨款收入支出决算表</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九、国有资本经营预算财政拨款支出决算表</w:t>
      </w:r>
    </w:p>
    <w:p>
      <w:pPr>
        <w:pStyle w:val="30"/>
        <w:snapToGrid w:val="0"/>
        <w:spacing w:line="580" w:lineRule="exact"/>
        <w:ind w:firstLine="560" w:firstLineChars="200"/>
        <w:rPr>
          <w:rFonts w:ascii="仿宋_GB2312" w:hAnsi="仿宋_GB2312" w:cs="仿宋_GB2312"/>
          <w:sz w:val="28"/>
          <w:szCs w:val="28"/>
        </w:rPr>
      </w:pPr>
      <w:r>
        <w:rPr>
          <w:rFonts w:hint="eastAsia" w:hAnsi="仿宋_GB2312"/>
          <w:sz w:val="28"/>
          <w:szCs w:val="28"/>
        </w:rPr>
        <w:t>第三部分</w:t>
      </w:r>
      <w:r>
        <w:rPr>
          <w:rFonts w:hAnsi="仿宋_GB2312"/>
          <w:sz w:val="28"/>
          <w:szCs w:val="28"/>
        </w:rPr>
        <w:t>20</w:t>
      </w:r>
      <w:r>
        <w:rPr>
          <w:rFonts w:hint="eastAsia" w:hAnsi="仿宋_GB2312"/>
          <w:sz w:val="28"/>
          <w:szCs w:val="28"/>
        </w:rPr>
        <w:t>20年度部门决算情况说明</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一、收入支出决算总体情况说明</w:t>
      </w:r>
    </w:p>
    <w:p>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三、支出决算情况说明</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四、财政拨款收入支出决算总体情况说明</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五、一般公共预算财政拨款支出决算情况说明</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六、一般公共预算财政拨款基本支出决算情况说明</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七、一般公共预算财政拨款三公经费支出决算情况说明</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八、政府性基金预算收入支出决算情况</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九、关于机关运行经费支出说明</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十、一般性支出情况</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十一、关于政府采购支出说明</w:t>
      </w:r>
    </w:p>
    <w:p>
      <w:pPr>
        <w:pStyle w:val="3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3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十三、关</w:t>
      </w:r>
      <w:r>
        <w:rPr>
          <w:rFonts w:hint="eastAsia" w:ascii="仿宋_GB2312" w:eastAsia="仿宋_GB2312" w:cs="仿宋_GB2312" w:hAnsiTheme="minorEastAsia"/>
          <w:sz w:val="28"/>
          <w:szCs w:val="28"/>
        </w:rPr>
        <w:t>于2020年</w:t>
      </w:r>
      <w:r>
        <w:rPr>
          <w:rFonts w:hint="eastAsia" w:ascii="仿宋_GB2312" w:hAnsi="仿宋_GB2312" w:eastAsia="仿宋_GB2312" w:cs="仿宋_GB2312"/>
          <w:sz w:val="28"/>
          <w:szCs w:val="28"/>
        </w:rPr>
        <w:t>度预算绩效情况的说明</w:t>
      </w:r>
    </w:p>
    <w:p>
      <w:pPr>
        <w:autoSpaceDE w:val="0"/>
        <w:autoSpaceDN w:val="0"/>
        <w:adjustRightInd w:val="0"/>
        <w:snapToGrid w:val="0"/>
        <w:spacing w:line="580" w:lineRule="exact"/>
        <w:ind w:firstLine="560" w:firstLineChars="200"/>
        <w:rPr>
          <w:rFonts w:ascii="黑体" w:hAnsi="黑体" w:eastAsia="黑体" w:cs="黑体"/>
          <w:color w:val="000000"/>
          <w:sz w:val="28"/>
          <w:szCs w:val="28"/>
        </w:rPr>
      </w:pPr>
      <w:r>
        <w:rPr>
          <w:rFonts w:ascii="黑体" w:hAnsi="黑体" w:eastAsia="黑体" w:cs="黑体"/>
          <w:color w:val="000000"/>
          <w:sz w:val="28"/>
          <w:szCs w:val="28"/>
        </w:rPr>
        <w:t>第四部分名词解释</w:t>
      </w:r>
    </w:p>
    <w:p>
      <w:pPr>
        <w:autoSpaceDE w:val="0"/>
        <w:autoSpaceDN w:val="0"/>
        <w:adjustRightInd w:val="0"/>
        <w:snapToGrid w:val="0"/>
        <w:spacing w:line="580" w:lineRule="exact"/>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rPr>
        <w:t>第五部分附件</w:t>
      </w:r>
    </w:p>
    <w:p>
      <w:pPr>
        <w:pStyle w:val="3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2020年度部门整体支出绩效评价报告</w:t>
      </w:r>
    </w:p>
    <w:p>
      <w:pPr>
        <w:pStyle w:val="30"/>
        <w:spacing w:line="500" w:lineRule="exact"/>
        <w:ind w:firstLine="700" w:firstLineChars="250"/>
        <w:rPr>
          <w:rFonts w:ascii="仿宋_GB2312" w:hAnsi="仿宋_GB2312" w:eastAsia="仿宋_GB2312" w:cs="仿宋_GB2312"/>
          <w:sz w:val="28"/>
          <w:szCs w:val="28"/>
        </w:rPr>
      </w:pPr>
    </w:p>
    <w:p>
      <w:pPr>
        <w:pStyle w:val="13"/>
        <w:spacing w:before="0" w:beforeAutospacing="0"/>
        <w:jc w:val="center"/>
        <w:rPr>
          <w:shd w:val="clear" w:color="auto" w:fill="FFFFFF"/>
        </w:rPr>
        <w:sectPr>
          <w:footerReference r:id="rId4" w:type="default"/>
          <w:pgSz w:w="11915" w:h="16851"/>
          <w:pgMar w:top="1440" w:right="1800" w:bottom="1440" w:left="1800" w:header="851" w:footer="992" w:gutter="0"/>
          <w:pgNumType w:start="1"/>
          <w:cols w:space="720" w:num="1"/>
          <w:docGrid w:type="lines" w:linePitch="312" w:charSpace="0"/>
        </w:sectPr>
      </w:pPr>
    </w:p>
    <w:p>
      <w:pPr>
        <w:pStyle w:val="13"/>
        <w:adjustRightInd w:val="0"/>
        <w:snapToGrid w:val="0"/>
        <w:spacing w:before="0" w:beforeAutospacing="0" w:after="0" w:afterAutospacing="0" w:line="560" w:lineRule="exact"/>
        <w:jc w:val="center"/>
        <w:outlineLvl w:val="0"/>
        <w:rPr>
          <w:rFonts w:ascii="黑体" w:hAnsi="黑体" w:eastAsia="黑体" w:cs="黑体"/>
          <w:sz w:val="32"/>
          <w:szCs w:val="32"/>
          <w:shd w:val="clear" w:color="auto" w:fill="FFFFFF"/>
        </w:rPr>
      </w:pPr>
      <w:bookmarkStart w:id="0" w:name="_Toc6365"/>
      <w:r>
        <w:rPr>
          <w:rFonts w:hint="eastAsia" w:ascii="黑体" w:hAnsi="黑体" w:eastAsia="黑体" w:cs="黑体"/>
          <w:sz w:val="44"/>
          <w:szCs w:val="44"/>
          <w:shd w:val="clear" w:color="auto" w:fill="FFFFFF"/>
        </w:rPr>
        <w:t>第一部分 常德市武陵区人民检察院概况</w:t>
      </w:r>
      <w:bookmarkEnd w:id="0"/>
    </w:p>
    <w:p>
      <w:pPr>
        <w:pStyle w:val="13"/>
        <w:adjustRightInd w:val="0"/>
        <w:snapToGrid w:val="0"/>
        <w:spacing w:before="0" w:beforeAutospacing="0" w:after="0" w:afterAutospacing="0" w:line="560" w:lineRule="exact"/>
        <w:ind w:left="480" w:leftChars="200"/>
        <w:outlineLvl w:val="1"/>
        <w:rPr>
          <w:rFonts w:ascii="楷体_GB2312" w:hAnsi="楷体" w:eastAsia="楷体_GB2312" w:cs="楷体"/>
          <w:b/>
          <w:bCs/>
          <w:sz w:val="32"/>
          <w:szCs w:val="32"/>
          <w:shd w:val="clear" w:color="auto" w:fill="FFFFFF"/>
        </w:rPr>
      </w:pPr>
      <w:bookmarkStart w:id="1" w:name="_Toc4526"/>
      <w:bookmarkStart w:id="2" w:name="_Toc26770"/>
      <w:r>
        <w:rPr>
          <w:rFonts w:hint="eastAsia" w:ascii="楷体_GB2312" w:hAnsi="楷体" w:eastAsia="楷体_GB2312" w:cs="楷体"/>
          <w:sz w:val="32"/>
          <w:szCs w:val="32"/>
          <w:shd w:val="clear" w:color="auto" w:fill="FFFFFF"/>
        </w:rPr>
        <w:t>一、部门职责</w:t>
      </w:r>
      <w:bookmarkEnd w:id="1"/>
      <w:bookmarkEnd w:id="2"/>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根据《宪法》和《人民检察院组织法》规定，常德市武陵区人民检察院作为国家法律监督机关，接受上级人民检察院的领导，对武陵区人民代表大会及其常务委员会负责并报告工作。其主要职责是：</w:t>
      </w:r>
    </w:p>
    <w:p>
      <w:pPr>
        <w:spacing w:line="58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1.深入贯彻习近平新时代中国特色社会主义思想，深入贯彻党的路线方针政策和决策部署，坚持党对检察工作的绝对领导，坚决维护习近平总书记的核心地位，坚决维护党中央权威和集中统一领导。</w:t>
      </w:r>
    </w:p>
    <w:p>
      <w:pPr>
        <w:spacing w:line="58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2.贯彻落实上级人民检察院的各项工作部署，研究制定检察工作规划，部署检察工作任务。</w:t>
      </w:r>
    </w:p>
    <w:p>
      <w:pPr>
        <w:spacing w:line="58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3.依照法律规定对由区人民检察院直接受理的刑事案件行使侦查权。</w:t>
      </w:r>
    </w:p>
    <w:p>
      <w:pPr>
        <w:spacing w:line="58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4.对刑事案件依法审查批准逮捕、决定逮捕、提起公诉。</w:t>
      </w:r>
    </w:p>
    <w:p>
      <w:pPr>
        <w:spacing w:line="58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5.负责应由区人民检察院承办的刑事、民事、行政诉讼活动及刑事、民事、行政判决和裁定等生效法律文书执行的法律监督工作。</w:t>
      </w:r>
    </w:p>
    <w:p>
      <w:pPr>
        <w:spacing w:line="58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6.负责应由区人民检察院承办的提起公益诉讼工作。</w:t>
      </w:r>
    </w:p>
    <w:p>
      <w:pPr>
        <w:spacing w:line="58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7.负责应由区人民检察院承办的对看守所、社区矫正机构等执法活动的法律监督工作。</w:t>
      </w:r>
    </w:p>
    <w:p>
      <w:pPr>
        <w:spacing w:line="58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8.受理向区人民检察院的控告申诉。</w:t>
      </w:r>
    </w:p>
    <w:p>
      <w:pPr>
        <w:spacing w:line="58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9.负责检察机关的理论研究工作。</w:t>
      </w:r>
    </w:p>
    <w:p>
      <w:pPr>
        <w:spacing w:line="58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10.负责检察机关队伍建设和思想政治工作。</w:t>
      </w:r>
    </w:p>
    <w:p>
      <w:pPr>
        <w:spacing w:line="58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11.负责检务督察工作。</w:t>
      </w:r>
    </w:p>
    <w:p>
      <w:pPr>
        <w:spacing w:line="58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12.负责检察机关财物装备和检察技术信息工作。</w:t>
      </w:r>
    </w:p>
    <w:p>
      <w:pPr>
        <w:spacing w:line="58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13.负责其他应当由区人民检察院承办的事项。</w:t>
      </w:r>
    </w:p>
    <w:p>
      <w:pPr>
        <w:pStyle w:val="13"/>
        <w:adjustRightInd w:val="0"/>
        <w:snapToGrid w:val="0"/>
        <w:spacing w:before="0" w:beforeAutospacing="0" w:after="0" w:afterAutospacing="0" w:line="560" w:lineRule="exact"/>
        <w:ind w:firstLine="640" w:firstLineChars="200"/>
        <w:outlineLvl w:val="1"/>
        <w:rPr>
          <w:rFonts w:ascii="楷体_GB2312" w:hAnsi="黑体" w:eastAsia="楷体_GB2312" w:cs="黑体"/>
          <w:sz w:val="32"/>
          <w:szCs w:val="32"/>
        </w:rPr>
      </w:pPr>
      <w:bookmarkStart w:id="3" w:name="_Toc647"/>
      <w:bookmarkStart w:id="4" w:name="_Toc27540"/>
      <w:r>
        <w:rPr>
          <w:rFonts w:hint="eastAsia" w:ascii="楷体_GB2312" w:hAnsi="楷体" w:eastAsia="楷体_GB2312" w:cs="楷体"/>
          <w:sz w:val="32"/>
          <w:szCs w:val="32"/>
          <w:shd w:val="clear" w:color="auto" w:fill="FFFFFF"/>
        </w:rPr>
        <w:t>二、机构设置</w:t>
      </w:r>
      <w:bookmarkEnd w:id="3"/>
      <w:bookmarkEnd w:id="4"/>
    </w:p>
    <w:p>
      <w:pPr>
        <w:adjustRightInd w:val="0"/>
        <w:snapToGrid w:val="0"/>
        <w:spacing w:line="560" w:lineRule="exact"/>
        <w:ind w:firstLine="640" w:firstLineChars="200"/>
        <w:rPr>
          <w:rFonts w:ascii="楷体_GB2312" w:hAnsi="楷体" w:eastAsia="楷体_GB2312" w:cs="楷体"/>
          <w:sz w:val="32"/>
          <w:szCs w:val="32"/>
          <w:shd w:val="clear" w:color="auto" w:fill="FFFFFF"/>
        </w:rPr>
      </w:pPr>
      <w:r>
        <w:rPr>
          <w:rFonts w:hint="eastAsia" w:ascii="楷体_GB2312" w:hAnsi="楷体" w:eastAsia="楷体_GB2312" w:cs="楷体"/>
          <w:sz w:val="32"/>
          <w:szCs w:val="32"/>
          <w:shd w:val="clear" w:color="auto" w:fill="FFFFFF"/>
        </w:rPr>
        <w:t>（一）内设机构设置。</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常德市武陵区</w:t>
      </w:r>
      <w:r>
        <w:rPr>
          <w:rFonts w:ascii="仿宋_GB2312" w:eastAsia="仿宋_GB2312"/>
          <w:sz w:val="32"/>
          <w:szCs w:val="32"/>
        </w:rPr>
        <w:t>人民检察院</w:t>
      </w:r>
      <w:r>
        <w:rPr>
          <w:rFonts w:hint="eastAsia" w:ascii="仿宋_GB2312" w:eastAsia="仿宋_GB2312"/>
          <w:sz w:val="32"/>
          <w:szCs w:val="32"/>
        </w:rPr>
        <w:t>机关本级现有8个内设机构，分别为：</w:t>
      </w:r>
      <w:r>
        <w:rPr>
          <w:rFonts w:ascii="仿宋_GB2312" w:eastAsia="仿宋_GB2312"/>
          <w:sz w:val="32"/>
          <w:szCs w:val="32"/>
        </w:rPr>
        <w:t>办公室、第一检察部、第二检察部、第三检察部、第四检察部、第五检察部、第六检察部、</w:t>
      </w:r>
      <w:r>
        <w:rPr>
          <w:rFonts w:hint="eastAsia" w:ascii="仿宋_GB2312" w:eastAsia="仿宋_GB2312"/>
          <w:sz w:val="32"/>
          <w:szCs w:val="32"/>
        </w:rPr>
        <w:t>政治部（司法警察大队）。</w:t>
      </w:r>
    </w:p>
    <w:p>
      <w:pPr>
        <w:adjustRightInd w:val="0"/>
        <w:snapToGrid w:val="0"/>
        <w:spacing w:line="560" w:lineRule="exact"/>
        <w:ind w:firstLine="640" w:firstLineChars="200"/>
        <w:rPr>
          <w:rFonts w:ascii="楷体_GB2312" w:hAnsi="楷体" w:eastAsia="楷体_GB2312" w:cs="楷体"/>
          <w:sz w:val="32"/>
          <w:szCs w:val="32"/>
          <w:shd w:val="clear" w:color="auto" w:fill="FFFFFF"/>
        </w:rPr>
      </w:pPr>
      <w:r>
        <w:rPr>
          <w:rFonts w:hint="eastAsia" w:ascii="楷体_GB2312" w:hAnsi="楷体" w:eastAsia="楷体_GB2312" w:cs="楷体"/>
          <w:sz w:val="32"/>
          <w:szCs w:val="32"/>
          <w:shd w:val="clear" w:color="auto" w:fill="FFFFFF"/>
        </w:rPr>
        <w:t>（二）决算单位构成。</w:t>
      </w:r>
    </w:p>
    <w:p>
      <w:pPr>
        <w:adjustRightInd w:val="0"/>
        <w:snapToGrid w:val="0"/>
        <w:spacing w:line="560" w:lineRule="exact"/>
        <w:ind w:firstLine="640" w:firstLineChars="200"/>
        <w:rPr>
          <w:rStyle w:val="16"/>
          <w:shd w:val="clear" w:color="auto" w:fill="FFFFFF"/>
        </w:rPr>
      </w:pPr>
      <w:r>
        <w:rPr>
          <w:rFonts w:hint="eastAsia" w:ascii="仿宋_GB2312" w:eastAsia="仿宋_GB2312"/>
          <w:sz w:val="32"/>
          <w:szCs w:val="32"/>
        </w:rPr>
        <w:t>常德市武陵区人民检察院2020年部门决算包含的主体范围是机关本级。</w:t>
      </w:r>
    </w:p>
    <w:p>
      <w:pPr>
        <w:rPr>
          <w:rStyle w:val="16"/>
          <w:rFonts w:ascii="黑体" w:hAnsi="黑体" w:eastAsia="黑体" w:cs="黑体"/>
          <w:sz w:val="44"/>
          <w:szCs w:val="44"/>
          <w:shd w:val="clear" w:color="auto" w:fill="FFFFFF"/>
        </w:rPr>
      </w:pPr>
      <w:bookmarkStart w:id="5" w:name="_Toc30556"/>
      <w:r>
        <w:rPr>
          <w:rStyle w:val="16"/>
          <w:rFonts w:ascii="黑体" w:hAnsi="黑体" w:eastAsia="黑体" w:cs="黑体"/>
          <w:sz w:val="44"/>
          <w:szCs w:val="44"/>
          <w:shd w:val="clear" w:color="auto" w:fill="FFFFFF"/>
        </w:rPr>
        <w:br w:type="page"/>
      </w:r>
    </w:p>
    <w:p>
      <w:pPr>
        <w:pStyle w:val="13"/>
        <w:spacing w:before="0" w:beforeAutospacing="0"/>
        <w:jc w:val="center"/>
        <w:outlineLvl w:val="0"/>
        <w:rPr>
          <w:rStyle w:val="16"/>
          <w:rFonts w:ascii="黑体" w:hAnsi="黑体" w:eastAsia="黑体" w:cs="黑体"/>
          <w:sz w:val="44"/>
          <w:szCs w:val="44"/>
          <w:shd w:val="clear" w:color="auto" w:fill="FFFFFF"/>
        </w:rPr>
      </w:pPr>
      <w:r>
        <w:rPr>
          <w:rStyle w:val="16"/>
          <w:rFonts w:hint="eastAsia" w:ascii="黑体" w:hAnsi="黑体" w:eastAsia="黑体" w:cs="黑体"/>
          <w:sz w:val="44"/>
          <w:szCs w:val="44"/>
          <w:shd w:val="clear" w:color="auto" w:fill="FFFFFF"/>
        </w:rPr>
        <w:t>第二部分 2020年度部门决算表</w:t>
      </w:r>
      <w:bookmarkEnd w:id="5"/>
    </w:p>
    <w:p>
      <w:pPr>
        <w:pStyle w:val="13"/>
        <w:adjustRightInd w:val="0"/>
        <w:snapToGrid w:val="0"/>
        <w:spacing w:before="0" w:beforeAutospacing="0" w:after="0" w:afterAutospacing="0" w:line="400" w:lineRule="exact"/>
        <w:outlineLvl w:val="1"/>
        <w:rPr>
          <w:rStyle w:val="16"/>
          <w:rFonts w:ascii="楷体_GB2312" w:hAnsi="楷体" w:eastAsia="楷体_GB2312" w:cs="楷体"/>
          <w:sz w:val="32"/>
          <w:szCs w:val="32"/>
          <w:shd w:val="clear" w:color="auto" w:fill="FFFFFF"/>
        </w:rPr>
      </w:pPr>
      <w:bookmarkStart w:id="6" w:name="_Toc5134"/>
      <w:r>
        <w:rPr>
          <w:rFonts w:hint="eastAsia" w:ascii="楷体_GB2312" w:hAnsi="楷体" w:eastAsia="楷体_GB2312" w:cs="楷体"/>
          <w:sz w:val="32"/>
          <w:szCs w:val="32"/>
          <w:shd w:val="clear" w:color="auto" w:fill="FFFFFF"/>
        </w:rPr>
        <w:t>一、收入支出决算总表</w:t>
      </w:r>
      <w:bookmarkEnd w:id="6"/>
    </w:p>
    <w:tbl>
      <w:tblPr>
        <w:tblStyle w:val="14"/>
        <w:tblW w:w="5597" w:type="pct"/>
        <w:tblInd w:w="-176" w:type="dxa"/>
        <w:tblLayout w:type="fixed"/>
        <w:tblCellMar>
          <w:top w:w="0" w:type="dxa"/>
          <w:left w:w="108" w:type="dxa"/>
          <w:bottom w:w="0" w:type="dxa"/>
          <w:right w:w="108" w:type="dxa"/>
        </w:tblCellMar>
      </w:tblPr>
      <w:tblGrid>
        <w:gridCol w:w="2820"/>
        <w:gridCol w:w="445"/>
        <w:gridCol w:w="76"/>
        <w:gridCol w:w="351"/>
        <w:gridCol w:w="1270"/>
        <w:gridCol w:w="2328"/>
        <w:gridCol w:w="424"/>
        <w:gridCol w:w="1836"/>
      </w:tblGrid>
      <w:tr>
        <w:tblPrEx>
          <w:tblCellMar>
            <w:top w:w="0" w:type="dxa"/>
            <w:left w:w="108" w:type="dxa"/>
            <w:bottom w:w="0" w:type="dxa"/>
            <w:right w:w="108" w:type="dxa"/>
          </w:tblCellMar>
        </w:tblPrEx>
        <w:trPr>
          <w:trHeight w:val="300" w:hRule="atLeast"/>
        </w:trPr>
        <w:tc>
          <w:tcPr>
            <w:tcW w:w="1476" w:type="pct"/>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273" w:type="pct"/>
            <w:gridSpan w:val="2"/>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849" w:type="pct"/>
            <w:gridSpan w:val="2"/>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219" w:type="pct"/>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222" w:type="pct"/>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961" w:type="pct"/>
            <w:tcBorders>
              <w:top w:val="nil"/>
              <w:left w:val="nil"/>
              <w:bottom w:val="nil"/>
              <w:right w:val="single" w:color="808080" w:sz="4" w:space="0"/>
            </w:tcBorders>
            <w:shd w:val="clear" w:color="000000" w:fill="FFFFFF"/>
            <w:noWrap/>
            <w:vAlign w:val="center"/>
          </w:tcPr>
          <w:p>
            <w:pPr>
              <w:jc w:val="right"/>
              <w:rPr>
                <w:rFonts w:cs="Arial"/>
                <w:color w:val="000000"/>
                <w:sz w:val="22"/>
                <w:szCs w:val="22"/>
              </w:rPr>
            </w:pPr>
            <w:r>
              <w:rPr>
                <w:rFonts w:hint="eastAsia" w:cs="Arial"/>
                <w:color w:val="000000"/>
                <w:sz w:val="22"/>
                <w:szCs w:val="22"/>
              </w:rPr>
              <w:t>公开01表</w:t>
            </w:r>
          </w:p>
        </w:tc>
      </w:tr>
      <w:tr>
        <w:tblPrEx>
          <w:tblCellMar>
            <w:top w:w="0" w:type="dxa"/>
            <w:left w:w="108" w:type="dxa"/>
            <w:bottom w:w="0" w:type="dxa"/>
            <w:right w:w="108" w:type="dxa"/>
          </w:tblCellMar>
        </w:tblPrEx>
        <w:trPr>
          <w:trHeight w:val="300" w:hRule="atLeast"/>
        </w:trPr>
        <w:tc>
          <w:tcPr>
            <w:tcW w:w="1749" w:type="pct"/>
            <w:gridSpan w:val="3"/>
            <w:tcBorders>
              <w:top w:val="nil"/>
              <w:left w:val="nil"/>
              <w:bottom w:val="single" w:color="808080" w:sz="4" w:space="0"/>
              <w:right w:val="nil"/>
            </w:tcBorders>
            <w:shd w:val="clear" w:color="000000" w:fill="FFFFFF"/>
            <w:noWrap/>
            <w:vAlign w:val="center"/>
          </w:tcPr>
          <w:p>
            <w:pPr>
              <w:rPr>
                <w:rFonts w:cs="Arial"/>
                <w:color w:val="000000"/>
                <w:sz w:val="22"/>
                <w:szCs w:val="22"/>
              </w:rPr>
            </w:pPr>
            <w:r>
              <w:rPr>
                <w:rFonts w:hint="eastAsia" w:cs="Arial"/>
                <w:color w:val="000000"/>
                <w:sz w:val="22"/>
                <w:szCs w:val="22"/>
              </w:rPr>
              <w:t>部门：常德市武陵区人民检察院</w:t>
            </w:r>
          </w:p>
        </w:tc>
        <w:tc>
          <w:tcPr>
            <w:tcW w:w="849" w:type="pct"/>
            <w:gridSpan w:val="2"/>
            <w:tcBorders>
              <w:top w:val="nil"/>
              <w:left w:val="nil"/>
              <w:bottom w:val="single" w:color="808080" w:sz="4" w:space="0"/>
              <w:right w:val="nil"/>
            </w:tcBorders>
            <w:shd w:val="clear" w:color="000000" w:fill="FFFFFF"/>
            <w:noWrap/>
            <w:vAlign w:val="center"/>
          </w:tcPr>
          <w:p>
            <w:pPr>
              <w:jc w:val="center"/>
              <w:rPr>
                <w:rFonts w:cs="Arial"/>
                <w:color w:val="000000"/>
              </w:rPr>
            </w:pPr>
            <w:r>
              <w:rPr>
                <w:rFonts w:hint="eastAsia" w:cs="Arial"/>
                <w:color w:val="000000"/>
              </w:rPr>
              <w:t xml:space="preserve">  2020年度</w:t>
            </w:r>
          </w:p>
        </w:tc>
        <w:tc>
          <w:tcPr>
            <w:tcW w:w="1219" w:type="pct"/>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222" w:type="pct"/>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961" w:type="pct"/>
            <w:tcBorders>
              <w:top w:val="nil"/>
              <w:left w:val="nil"/>
              <w:bottom w:val="single" w:color="808080" w:sz="4" w:space="0"/>
              <w:right w:val="single" w:color="808080" w:sz="4" w:space="0"/>
            </w:tcBorders>
            <w:shd w:val="clear" w:color="000000" w:fill="FFFFFF"/>
            <w:noWrap/>
            <w:vAlign w:val="center"/>
          </w:tcPr>
          <w:p>
            <w:pPr>
              <w:jc w:val="right"/>
              <w:rPr>
                <w:rFonts w:cs="Arial"/>
                <w:color w:val="000000"/>
                <w:sz w:val="22"/>
                <w:szCs w:val="22"/>
              </w:rPr>
            </w:pPr>
            <w:r>
              <w:rPr>
                <w:rFonts w:hint="eastAsia" w:cs="Arial"/>
                <w:color w:val="000000"/>
                <w:sz w:val="22"/>
                <w:szCs w:val="22"/>
              </w:rPr>
              <w:t>金额单位：万元</w:t>
            </w:r>
          </w:p>
        </w:tc>
      </w:tr>
      <w:tr>
        <w:tblPrEx>
          <w:tblCellMar>
            <w:top w:w="0" w:type="dxa"/>
            <w:left w:w="108" w:type="dxa"/>
            <w:bottom w:w="0" w:type="dxa"/>
            <w:right w:w="108" w:type="dxa"/>
          </w:tblCellMar>
        </w:tblPrEx>
        <w:trPr>
          <w:trHeight w:val="300" w:hRule="atLeast"/>
        </w:trPr>
        <w:tc>
          <w:tcPr>
            <w:tcW w:w="2598" w:type="pct"/>
            <w:gridSpan w:val="5"/>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收入</w:t>
            </w:r>
          </w:p>
        </w:tc>
        <w:tc>
          <w:tcPr>
            <w:tcW w:w="2402" w:type="pct"/>
            <w:gridSpan w:val="3"/>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支出</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项目</w:t>
            </w:r>
          </w:p>
        </w:tc>
        <w:tc>
          <w:tcPr>
            <w:tcW w:w="224"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行次</w:t>
            </w:r>
          </w:p>
        </w:tc>
        <w:tc>
          <w:tcPr>
            <w:tcW w:w="665"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金额</w:t>
            </w:r>
          </w:p>
        </w:tc>
        <w:tc>
          <w:tcPr>
            <w:tcW w:w="1219" w:type="pct"/>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项目</w:t>
            </w:r>
          </w:p>
        </w:tc>
        <w:tc>
          <w:tcPr>
            <w:tcW w:w="22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行次</w:t>
            </w:r>
          </w:p>
        </w:tc>
        <w:tc>
          <w:tcPr>
            <w:tcW w:w="961"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金额</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栏次</w:t>
            </w:r>
          </w:p>
        </w:tc>
        <w:tc>
          <w:tcPr>
            <w:tcW w:w="224"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　</w:t>
            </w:r>
          </w:p>
        </w:tc>
        <w:tc>
          <w:tcPr>
            <w:tcW w:w="665"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w:t>
            </w:r>
          </w:p>
        </w:tc>
        <w:tc>
          <w:tcPr>
            <w:tcW w:w="1219" w:type="pct"/>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栏次</w:t>
            </w:r>
          </w:p>
        </w:tc>
        <w:tc>
          <w:tcPr>
            <w:tcW w:w="22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　</w:t>
            </w:r>
          </w:p>
        </w:tc>
        <w:tc>
          <w:tcPr>
            <w:tcW w:w="961"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一、一般公共预算财政拨款收入</w:t>
            </w:r>
          </w:p>
        </w:tc>
        <w:tc>
          <w:tcPr>
            <w:tcW w:w="224"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w:t>
            </w:r>
          </w:p>
        </w:tc>
        <w:tc>
          <w:tcPr>
            <w:tcW w:w="665"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1,944.70</w:t>
            </w:r>
          </w:p>
        </w:tc>
        <w:tc>
          <w:tcPr>
            <w:tcW w:w="1219" w:type="pct"/>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一、一般公共服务支出</w:t>
            </w:r>
          </w:p>
        </w:tc>
        <w:tc>
          <w:tcPr>
            <w:tcW w:w="22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32</w:t>
            </w:r>
          </w:p>
        </w:tc>
        <w:tc>
          <w:tcPr>
            <w:tcW w:w="961"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二、政府性基金预算财政拨款收入</w:t>
            </w:r>
          </w:p>
        </w:tc>
        <w:tc>
          <w:tcPr>
            <w:tcW w:w="224"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w:t>
            </w:r>
          </w:p>
        </w:tc>
        <w:tc>
          <w:tcPr>
            <w:tcW w:w="665"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19" w:type="pct"/>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二、外交支出</w:t>
            </w:r>
          </w:p>
        </w:tc>
        <w:tc>
          <w:tcPr>
            <w:tcW w:w="22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33</w:t>
            </w:r>
          </w:p>
        </w:tc>
        <w:tc>
          <w:tcPr>
            <w:tcW w:w="961"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三、国有资本经营预算财政拨款收入</w:t>
            </w:r>
          </w:p>
        </w:tc>
        <w:tc>
          <w:tcPr>
            <w:tcW w:w="224"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w:t>
            </w:r>
          </w:p>
        </w:tc>
        <w:tc>
          <w:tcPr>
            <w:tcW w:w="665"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19" w:type="pct"/>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三、国防支出</w:t>
            </w:r>
          </w:p>
        </w:tc>
        <w:tc>
          <w:tcPr>
            <w:tcW w:w="22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34</w:t>
            </w:r>
          </w:p>
        </w:tc>
        <w:tc>
          <w:tcPr>
            <w:tcW w:w="961"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四、上级补助收入</w:t>
            </w:r>
          </w:p>
        </w:tc>
        <w:tc>
          <w:tcPr>
            <w:tcW w:w="224"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4</w:t>
            </w:r>
          </w:p>
        </w:tc>
        <w:tc>
          <w:tcPr>
            <w:tcW w:w="665"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219" w:type="pct"/>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四、公共安全支出</w:t>
            </w:r>
          </w:p>
        </w:tc>
        <w:tc>
          <w:tcPr>
            <w:tcW w:w="22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35</w:t>
            </w:r>
          </w:p>
        </w:tc>
        <w:tc>
          <w:tcPr>
            <w:tcW w:w="961"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1,864.19</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五、事业收入</w:t>
            </w:r>
          </w:p>
        </w:tc>
        <w:tc>
          <w:tcPr>
            <w:tcW w:w="224"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5</w:t>
            </w:r>
          </w:p>
        </w:tc>
        <w:tc>
          <w:tcPr>
            <w:tcW w:w="665"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219" w:type="pct"/>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五、教育支出</w:t>
            </w:r>
          </w:p>
        </w:tc>
        <w:tc>
          <w:tcPr>
            <w:tcW w:w="22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36</w:t>
            </w:r>
          </w:p>
        </w:tc>
        <w:tc>
          <w:tcPr>
            <w:tcW w:w="961"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六、经营收入</w:t>
            </w:r>
          </w:p>
        </w:tc>
        <w:tc>
          <w:tcPr>
            <w:tcW w:w="224"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6</w:t>
            </w:r>
          </w:p>
        </w:tc>
        <w:tc>
          <w:tcPr>
            <w:tcW w:w="665"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219" w:type="pct"/>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六、科学技术支出</w:t>
            </w:r>
          </w:p>
        </w:tc>
        <w:tc>
          <w:tcPr>
            <w:tcW w:w="22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37</w:t>
            </w:r>
          </w:p>
        </w:tc>
        <w:tc>
          <w:tcPr>
            <w:tcW w:w="961"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七、附属单位上缴收入</w:t>
            </w:r>
          </w:p>
        </w:tc>
        <w:tc>
          <w:tcPr>
            <w:tcW w:w="224"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7</w:t>
            </w:r>
          </w:p>
        </w:tc>
        <w:tc>
          <w:tcPr>
            <w:tcW w:w="665"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219" w:type="pct"/>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七、文化旅游体育与传媒支出</w:t>
            </w:r>
          </w:p>
        </w:tc>
        <w:tc>
          <w:tcPr>
            <w:tcW w:w="22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38</w:t>
            </w:r>
          </w:p>
        </w:tc>
        <w:tc>
          <w:tcPr>
            <w:tcW w:w="961"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八、其他收入</w:t>
            </w:r>
          </w:p>
        </w:tc>
        <w:tc>
          <w:tcPr>
            <w:tcW w:w="224"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8</w:t>
            </w:r>
          </w:p>
        </w:tc>
        <w:tc>
          <w:tcPr>
            <w:tcW w:w="665"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635.16</w:t>
            </w:r>
          </w:p>
        </w:tc>
        <w:tc>
          <w:tcPr>
            <w:tcW w:w="1219" w:type="pct"/>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八、社会保障和就业支出</w:t>
            </w:r>
          </w:p>
        </w:tc>
        <w:tc>
          <w:tcPr>
            <w:tcW w:w="22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39</w:t>
            </w:r>
          </w:p>
        </w:tc>
        <w:tc>
          <w:tcPr>
            <w:tcW w:w="961"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296.02</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224"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9</w:t>
            </w:r>
          </w:p>
        </w:tc>
        <w:tc>
          <w:tcPr>
            <w:tcW w:w="665"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19" w:type="pct"/>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九、卫生健康支出</w:t>
            </w:r>
          </w:p>
        </w:tc>
        <w:tc>
          <w:tcPr>
            <w:tcW w:w="22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40</w:t>
            </w:r>
          </w:p>
        </w:tc>
        <w:tc>
          <w:tcPr>
            <w:tcW w:w="961"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80.81</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224"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10</w:t>
            </w:r>
          </w:p>
        </w:tc>
        <w:tc>
          <w:tcPr>
            <w:tcW w:w="665"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19" w:type="pct"/>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十、节能环保支出</w:t>
            </w:r>
          </w:p>
        </w:tc>
        <w:tc>
          <w:tcPr>
            <w:tcW w:w="22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41</w:t>
            </w:r>
          </w:p>
        </w:tc>
        <w:tc>
          <w:tcPr>
            <w:tcW w:w="961"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224"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11</w:t>
            </w:r>
          </w:p>
        </w:tc>
        <w:tc>
          <w:tcPr>
            <w:tcW w:w="665"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19" w:type="pct"/>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十一、城乡社区支出</w:t>
            </w:r>
          </w:p>
        </w:tc>
        <w:tc>
          <w:tcPr>
            <w:tcW w:w="22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42</w:t>
            </w:r>
          </w:p>
        </w:tc>
        <w:tc>
          <w:tcPr>
            <w:tcW w:w="961"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224"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12</w:t>
            </w:r>
          </w:p>
        </w:tc>
        <w:tc>
          <w:tcPr>
            <w:tcW w:w="665"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19" w:type="pct"/>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十二、农林水支出</w:t>
            </w:r>
          </w:p>
        </w:tc>
        <w:tc>
          <w:tcPr>
            <w:tcW w:w="22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43</w:t>
            </w:r>
          </w:p>
        </w:tc>
        <w:tc>
          <w:tcPr>
            <w:tcW w:w="961"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224"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13</w:t>
            </w:r>
          </w:p>
        </w:tc>
        <w:tc>
          <w:tcPr>
            <w:tcW w:w="665"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19" w:type="pct"/>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十三、交通运输支出</w:t>
            </w:r>
          </w:p>
        </w:tc>
        <w:tc>
          <w:tcPr>
            <w:tcW w:w="22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44</w:t>
            </w:r>
          </w:p>
        </w:tc>
        <w:tc>
          <w:tcPr>
            <w:tcW w:w="961"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224"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14</w:t>
            </w:r>
          </w:p>
        </w:tc>
        <w:tc>
          <w:tcPr>
            <w:tcW w:w="665"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19" w:type="pct"/>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十四、资源勘探工业信息等支出</w:t>
            </w:r>
          </w:p>
        </w:tc>
        <w:tc>
          <w:tcPr>
            <w:tcW w:w="22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45</w:t>
            </w:r>
          </w:p>
        </w:tc>
        <w:tc>
          <w:tcPr>
            <w:tcW w:w="961"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224"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15</w:t>
            </w:r>
          </w:p>
        </w:tc>
        <w:tc>
          <w:tcPr>
            <w:tcW w:w="665"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19" w:type="pct"/>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十五、商业服务业等支出</w:t>
            </w:r>
          </w:p>
        </w:tc>
        <w:tc>
          <w:tcPr>
            <w:tcW w:w="22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46</w:t>
            </w:r>
          </w:p>
        </w:tc>
        <w:tc>
          <w:tcPr>
            <w:tcW w:w="961"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224"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16</w:t>
            </w:r>
          </w:p>
        </w:tc>
        <w:tc>
          <w:tcPr>
            <w:tcW w:w="665"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19" w:type="pct"/>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十六、金融支出</w:t>
            </w:r>
          </w:p>
        </w:tc>
        <w:tc>
          <w:tcPr>
            <w:tcW w:w="22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47</w:t>
            </w:r>
          </w:p>
        </w:tc>
        <w:tc>
          <w:tcPr>
            <w:tcW w:w="961"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224"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17</w:t>
            </w:r>
          </w:p>
        </w:tc>
        <w:tc>
          <w:tcPr>
            <w:tcW w:w="665"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19" w:type="pct"/>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十七、援助其他地区支出</w:t>
            </w:r>
          </w:p>
        </w:tc>
        <w:tc>
          <w:tcPr>
            <w:tcW w:w="22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48</w:t>
            </w:r>
          </w:p>
        </w:tc>
        <w:tc>
          <w:tcPr>
            <w:tcW w:w="961"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224"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18</w:t>
            </w:r>
          </w:p>
        </w:tc>
        <w:tc>
          <w:tcPr>
            <w:tcW w:w="665"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19" w:type="pct"/>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十八、自然资源海洋气象等支出</w:t>
            </w:r>
          </w:p>
        </w:tc>
        <w:tc>
          <w:tcPr>
            <w:tcW w:w="22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49</w:t>
            </w:r>
          </w:p>
        </w:tc>
        <w:tc>
          <w:tcPr>
            <w:tcW w:w="961"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224"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19</w:t>
            </w:r>
          </w:p>
        </w:tc>
        <w:tc>
          <w:tcPr>
            <w:tcW w:w="665"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19" w:type="pct"/>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十九、住房保障支出</w:t>
            </w:r>
          </w:p>
        </w:tc>
        <w:tc>
          <w:tcPr>
            <w:tcW w:w="22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50</w:t>
            </w:r>
          </w:p>
        </w:tc>
        <w:tc>
          <w:tcPr>
            <w:tcW w:w="961"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184.24</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224"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20</w:t>
            </w:r>
          </w:p>
        </w:tc>
        <w:tc>
          <w:tcPr>
            <w:tcW w:w="665"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19" w:type="pct"/>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二十、粮油物资储备支出</w:t>
            </w:r>
          </w:p>
        </w:tc>
        <w:tc>
          <w:tcPr>
            <w:tcW w:w="22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51</w:t>
            </w:r>
          </w:p>
        </w:tc>
        <w:tc>
          <w:tcPr>
            <w:tcW w:w="961"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224"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21</w:t>
            </w:r>
          </w:p>
        </w:tc>
        <w:tc>
          <w:tcPr>
            <w:tcW w:w="665"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19" w:type="pct"/>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二十一、国有资本经营预算支出</w:t>
            </w:r>
          </w:p>
        </w:tc>
        <w:tc>
          <w:tcPr>
            <w:tcW w:w="22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52</w:t>
            </w:r>
          </w:p>
        </w:tc>
        <w:tc>
          <w:tcPr>
            <w:tcW w:w="961"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224"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22</w:t>
            </w:r>
          </w:p>
        </w:tc>
        <w:tc>
          <w:tcPr>
            <w:tcW w:w="665"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19" w:type="pct"/>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二十二、灾害防治及应急管理支出</w:t>
            </w:r>
          </w:p>
        </w:tc>
        <w:tc>
          <w:tcPr>
            <w:tcW w:w="22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53</w:t>
            </w:r>
          </w:p>
        </w:tc>
        <w:tc>
          <w:tcPr>
            <w:tcW w:w="961"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224"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23</w:t>
            </w:r>
          </w:p>
        </w:tc>
        <w:tc>
          <w:tcPr>
            <w:tcW w:w="665"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19" w:type="pct"/>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二十三、其他支出</w:t>
            </w:r>
          </w:p>
        </w:tc>
        <w:tc>
          <w:tcPr>
            <w:tcW w:w="22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54</w:t>
            </w:r>
          </w:p>
        </w:tc>
        <w:tc>
          <w:tcPr>
            <w:tcW w:w="961"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　</w:t>
            </w:r>
          </w:p>
        </w:tc>
        <w:tc>
          <w:tcPr>
            <w:tcW w:w="224"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24</w:t>
            </w:r>
          </w:p>
        </w:tc>
        <w:tc>
          <w:tcPr>
            <w:tcW w:w="665"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19" w:type="pct"/>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二十四、债务还本支出</w:t>
            </w:r>
          </w:p>
        </w:tc>
        <w:tc>
          <w:tcPr>
            <w:tcW w:w="22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55</w:t>
            </w:r>
          </w:p>
        </w:tc>
        <w:tc>
          <w:tcPr>
            <w:tcW w:w="961"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224"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25</w:t>
            </w:r>
          </w:p>
        </w:tc>
        <w:tc>
          <w:tcPr>
            <w:tcW w:w="665"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19" w:type="pct"/>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二十五、债务付息支出</w:t>
            </w:r>
          </w:p>
        </w:tc>
        <w:tc>
          <w:tcPr>
            <w:tcW w:w="22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56</w:t>
            </w:r>
          </w:p>
        </w:tc>
        <w:tc>
          <w:tcPr>
            <w:tcW w:w="961"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224"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26</w:t>
            </w:r>
          </w:p>
        </w:tc>
        <w:tc>
          <w:tcPr>
            <w:tcW w:w="665"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19" w:type="pct"/>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二十六、抗疫特别国债安排的支出</w:t>
            </w:r>
          </w:p>
        </w:tc>
        <w:tc>
          <w:tcPr>
            <w:tcW w:w="22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57</w:t>
            </w:r>
          </w:p>
        </w:tc>
        <w:tc>
          <w:tcPr>
            <w:tcW w:w="961"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本年收入合计</w:t>
            </w:r>
          </w:p>
        </w:tc>
        <w:tc>
          <w:tcPr>
            <w:tcW w:w="224"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27</w:t>
            </w:r>
          </w:p>
        </w:tc>
        <w:tc>
          <w:tcPr>
            <w:tcW w:w="665"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2,579.86</w:t>
            </w:r>
          </w:p>
        </w:tc>
        <w:tc>
          <w:tcPr>
            <w:tcW w:w="1219" w:type="pct"/>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本年支出合计</w:t>
            </w:r>
          </w:p>
        </w:tc>
        <w:tc>
          <w:tcPr>
            <w:tcW w:w="22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58</w:t>
            </w:r>
          </w:p>
        </w:tc>
        <w:tc>
          <w:tcPr>
            <w:tcW w:w="961"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2,425.26</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使用非财政拨款结余</w:t>
            </w:r>
          </w:p>
        </w:tc>
        <w:tc>
          <w:tcPr>
            <w:tcW w:w="224"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28</w:t>
            </w:r>
          </w:p>
        </w:tc>
        <w:tc>
          <w:tcPr>
            <w:tcW w:w="665"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219" w:type="pct"/>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结余分配</w:t>
            </w:r>
          </w:p>
        </w:tc>
        <w:tc>
          <w:tcPr>
            <w:tcW w:w="22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59</w:t>
            </w:r>
          </w:p>
        </w:tc>
        <w:tc>
          <w:tcPr>
            <w:tcW w:w="961"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年初结转和结余</w:t>
            </w:r>
          </w:p>
        </w:tc>
        <w:tc>
          <w:tcPr>
            <w:tcW w:w="224"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29</w:t>
            </w:r>
          </w:p>
        </w:tc>
        <w:tc>
          <w:tcPr>
            <w:tcW w:w="665"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49.40</w:t>
            </w:r>
          </w:p>
        </w:tc>
        <w:tc>
          <w:tcPr>
            <w:tcW w:w="1219" w:type="pct"/>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年末结转和结余</w:t>
            </w:r>
          </w:p>
        </w:tc>
        <w:tc>
          <w:tcPr>
            <w:tcW w:w="22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60</w:t>
            </w:r>
          </w:p>
        </w:tc>
        <w:tc>
          <w:tcPr>
            <w:tcW w:w="961"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204.00</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224"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30</w:t>
            </w:r>
          </w:p>
        </w:tc>
        <w:tc>
          <w:tcPr>
            <w:tcW w:w="665"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19" w:type="pct"/>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22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61</w:t>
            </w:r>
          </w:p>
        </w:tc>
        <w:tc>
          <w:tcPr>
            <w:tcW w:w="961" w:type="pct"/>
            <w:tcBorders>
              <w:top w:val="nil"/>
              <w:left w:val="nil"/>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总计</w:t>
            </w:r>
          </w:p>
        </w:tc>
        <w:tc>
          <w:tcPr>
            <w:tcW w:w="224" w:type="pct"/>
            <w:gridSpan w:val="2"/>
            <w:tcBorders>
              <w:top w:val="nil"/>
              <w:left w:val="nil"/>
              <w:bottom w:val="single" w:color="000000" w:sz="12"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31</w:t>
            </w:r>
          </w:p>
        </w:tc>
        <w:tc>
          <w:tcPr>
            <w:tcW w:w="665"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2,629.26</w:t>
            </w:r>
          </w:p>
        </w:tc>
        <w:tc>
          <w:tcPr>
            <w:tcW w:w="1219" w:type="pct"/>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总计</w:t>
            </w:r>
          </w:p>
        </w:tc>
        <w:tc>
          <w:tcPr>
            <w:tcW w:w="22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62</w:t>
            </w:r>
          </w:p>
        </w:tc>
        <w:tc>
          <w:tcPr>
            <w:tcW w:w="961"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2,629.26</w:t>
            </w:r>
          </w:p>
        </w:tc>
      </w:tr>
      <w:tr>
        <w:tblPrEx>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000000" w:fill="FFFFFF"/>
            <w:noWrap/>
            <w:vAlign w:val="center"/>
          </w:tcPr>
          <w:p>
            <w:pPr>
              <w:rPr>
                <w:rFonts w:cs="Arial"/>
                <w:sz w:val="20"/>
                <w:szCs w:val="20"/>
              </w:rPr>
            </w:pPr>
            <w:r>
              <w:rPr>
                <w:rFonts w:hint="eastAsia" w:cs="Arial"/>
                <w:sz w:val="20"/>
                <w:szCs w:val="20"/>
              </w:rPr>
              <w:t>注：本表反映部门本年度的总收支和年末结转结余情况。本套报表金额单位转换时可能存在尾数误差。</w:t>
            </w:r>
          </w:p>
        </w:tc>
      </w:tr>
    </w:tbl>
    <w:p>
      <w:pPr>
        <w:pStyle w:val="13"/>
        <w:adjustRightInd w:val="0"/>
        <w:snapToGrid w:val="0"/>
        <w:spacing w:beforeLines="250" w:beforeAutospacing="0"/>
        <w:outlineLvl w:val="1"/>
        <w:rPr>
          <w:shd w:val="clear" w:color="auto" w:fill="FFFFFF"/>
        </w:rPr>
        <w:sectPr>
          <w:footerReference r:id="rId5" w:type="default"/>
          <w:pgSz w:w="11915" w:h="16851"/>
          <w:pgMar w:top="1440" w:right="1800" w:bottom="1440" w:left="1800" w:header="851" w:footer="992" w:gutter="0"/>
          <w:pgNumType w:start="1"/>
          <w:cols w:space="720" w:num="1"/>
          <w:docGrid w:type="lines" w:linePitch="312" w:charSpace="0"/>
        </w:sectPr>
      </w:pPr>
    </w:p>
    <w:p>
      <w:pPr>
        <w:pStyle w:val="13"/>
        <w:spacing w:before="0" w:beforeAutospacing="0"/>
        <w:ind w:firstLine="480" w:firstLineChars="150"/>
        <w:outlineLvl w:val="1"/>
        <w:rPr>
          <w:rFonts w:ascii="楷体_GB2312" w:hAnsi="楷体" w:eastAsia="楷体_GB2312" w:cs="楷体"/>
          <w:sz w:val="32"/>
          <w:szCs w:val="32"/>
          <w:shd w:val="clear" w:color="auto" w:fill="FFFFFF"/>
        </w:rPr>
      </w:pPr>
      <w:bookmarkStart w:id="7" w:name="_Toc17035"/>
      <w:r>
        <w:rPr>
          <w:rFonts w:hint="eastAsia" w:ascii="楷体_GB2312" w:hAnsi="楷体" w:eastAsia="楷体_GB2312" w:cs="楷体"/>
          <w:sz w:val="32"/>
          <w:szCs w:val="32"/>
          <w:shd w:val="clear" w:color="auto" w:fill="FFFFFF"/>
        </w:rPr>
        <w:t>二、收入决算表</w:t>
      </w:r>
      <w:bookmarkEnd w:id="7"/>
    </w:p>
    <w:tbl>
      <w:tblPr>
        <w:tblStyle w:val="14"/>
        <w:tblW w:w="0" w:type="auto"/>
        <w:tblInd w:w="93" w:type="dxa"/>
        <w:tblLayout w:type="fixed"/>
        <w:tblCellMar>
          <w:top w:w="0" w:type="dxa"/>
          <w:left w:w="108" w:type="dxa"/>
          <w:bottom w:w="0" w:type="dxa"/>
          <w:right w:w="108" w:type="dxa"/>
        </w:tblCellMar>
      </w:tblPr>
      <w:tblGrid>
        <w:gridCol w:w="532"/>
        <w:gridCol w:w="522"/>
        <w:gridCol w:w="517"/>
        <w:gridCol w:w="3616"/>
        <w:gridCol w:w="1308"/>
        <w:gridCol w:w="1343"/>
        <w:gridCol w:w="1198"/>
        <w:gridCol w:w="907"/>
        <w:gridCol w:w="907"/>
        <w:gridCol w:w="1214"/>
        <w:gridCol w:w="1843"/>
      </w:tblGrid>
      <w:tr>
        <w:tblPrEx>
          <w:tblCellMar>
            <w:top w:w="0" w:type="dxa"/>
            <w:left w:w="108" w:type="dxa"/>
            <w:bottom w:w="0" w:type="dxa"/>
            <w:right w:w="108" w:type="dxa"/>
          </w:tblCellMar>
        </w:tblPrEx>
        <w:trPr>
          <w:trHeight w:val="300" w:hRule="atLeast"/>
        </w:trPr>
        <w:tc>
          <w:tcPr>
            <w:tcW w:w="532"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522"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517"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3616"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308"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343"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198"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907"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907"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214"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843" w:type="dxa"/>
            <w:tcBorders>
              <w:top w:val="nil"/>
              <w:left w:val="nil"/>
              <w:bottom w:val="nil"/>
              <w:right w:val="single" w:color="808080" w:sz="4" w:space="0"/>
            </w:tcBorders>
            <w:shd w:val="clear" w:color="000000" w:fill="FFFFFF"/>
            <w:noWrap/>
            <w:vAlign w:val="center"/>
          </w:tcPr>
          <w:p>
            <w:pPr>
              <w:jc w:val="right"/>
              <w:rPr>
                <w:rFonts w:cs="Arial"/>
                <w:color w:val="000000"/>
                <w:sz w:val="22"/>
                <w:szCs w:val="22"/>
              </w:rPr>
            </w:pPr>
            <w:r>
              <w:rPr>
                <w:rFonts w:hint="eastAsia" w:cs="Arial"/>
                <w:color w:val="000000"/>
                <w:sz w:val="22"/>
                <w:szCs w:val="22"/>
              </w:rPr>
              <w:t>公开02表</w:t>
            </w:r>
          </w:p>
        </w:tc>
      </w:tr>
      <w:tr>
        <w:tblPrEx>
          <w:tblCellMar>
            <w:top w:w="0" w:type="dxa"/>
            <w:left w:w="108" w:type="dxa"/>
            <w:bottom w:w="0" w:type="dxa"/>
            <w:right w:w="108" w:type="dxa"/>
          </w:tblCellMar>
        </w:tblPrEx>
        <w:trPr>
          <w:trHeight w:val="300" w:hRule="atLeast"/>
        </w:trPr>
        <w:tc>
          <w:tcPr>
            <w:tcW w:w="5187" w:type="dxa"/>
            <w:gridSpan w:val="4"/>
            <w:tcBorders>
              <w:top w:val="nil"/>
              <w:left w:val="nil"/>
              <w:bottom w:val="single" w:color="808080" w:sz="4" w:space="0"/>
              <w:right w:val="nil"/>
            </w:tcBorders>
            <w:shd w:val="clear" w:color="000000" w:fill="FFFFFF"/>
            <w:noWrap/>
            <w:vAlign w:val="center"/>
          </w:tcPr>
          <w:p>
            <w:pPr>
              <w:rPr>
                <w:rFonts w:cs="Arial"/>
                <w:color w:val="000000"/>
                <w:sz w:val="22"/>
                <w:szCs w:val="22"/>
              </w:rPr>
            </w:pPr>
            <w:r>
              <w:rPr>
                <w:rFonts w:hint="eastAsia" w:cs="Arial"/>
                <w:color w:val="000000"/>
                <w:sz w:val="22"/>
                <w:szCs w:val="22"/>
              </w:rPr>
              <w:t>部门：常德市武陵区人民检察院</w:t>
            </w:r>
          </w:p>
        </w:tc>
        <w:tc>
          <w:tcPr>
            <w:tcW w:w="1308" w:type="dxa"/>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1343" w:type="dxa"/>
            <w:tcBorders>
              <w:top w:val="nil"/>
              <w:left w:val="nil"/>
              <w:bottom w:val="single" w:color="808080" w:sz="4" w:space="0"/>
              <w:right w:val="nil"/>
            </w:tcBorders>
            <w:shd w:val="clear" w:color="000000" w:fill="FFFFFF"/>
            <w:noWrap/>
            <w:vAlign w:val="center"/>
          </w:tcPr>
          <w:p>
            <w:pPr>
              <w:jc w:val="center"/>
              <w:rPr>
                <w:rFonts w:cs="Arial"/>
                <w:color w:val="000000"/>
                <w:sz w:val="22"/>
                <w:szCs w:val="22"/>
              </w:rPr>
            </w:pPr>
            <w:r>
              <w:rPr>
                <w:rFonts w:hint="eastAsia" w:cs="Arial"/>
                <w:color w:val="000000"/>
                <w:sz w:val="22"/>
                <w:szCs w:val="22"/>
              </w:rPr>
              <w:t>2020年度</w:t>
            </w:r>
          </w:p>
        </w:tc>
        <w:tc>
          <w:tcPr>
            <w:tcW w:w="1198" w:type="dxa"/>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907" w:type="dxa"/>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907" w:type="dxa"/>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1214" w:type="dxa"/>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1843" w:type="dxa"/>
            <w:tcBorders>
              <w:top w:val="nil"/>
              <w:left w:val="nil"/>
              <w:bottom w:val="single" w:color="808080" w:sz="4" w:space="0"/>
              <w:right w:val="single" w:color="808080" w:sz="4" w:space="0"/>
            </w:tcBorders>
            <w:shd w:val="clear" w:color="000000" w:fill="FFFFFF"/>
            <w:noWrap/>
            <w:vAlign w:val="center"/>
          </w:tcPr>
          <w:p>
            <w:pPr>
              <w:jc w:val="right"/>
              <w:rPr>
                <w:rFonts w:cs="Arial"/>
                <w:color w:val="000000"/>
                <w:sz w:val="22"/>
                <w:szCs w:val="22"/>
              </w:rPr>
            </w:pPr>
            <w:r>
              <w:rPr>
                <w:rFonts w:hint="eastAsia" w:cs="Arial"/>
                <w:color w:val="000000"/>
                <w:sz w:val="22"/>
                <w:szCs w:val="22"/>
              </w:rPr>
              <w:t>金额单位：万元</w:t>
            </w:r>
          </w:p>
        </w:tc>
      </w:tr>
      <w:tr>
        <w:tblPrEx>
          <w:tblCellMar>
            <w:top w:w="0" w:type="dxa"/>
            <w:left w:w="108" w:type="dxa"/>
            <w:bottom w:w="0" w:type="dxa"/>
            <w:right w:w="108" w:type="dxa"/>
          </w:tblCellMar>
        </w:tblPrEx>
        <w:trPr>
          <w:trHeight w:val="300" w:hRule="atLeast"/>
        </w:trPr>
        <w:tc>
          <w:tcPr>
            <w:tcW w:w="5187" w:type="dxa"/>
            <w:gridSpan w:val="4"/>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项目</w:t>
            </w:r>
          </w:p>
        </w:tc>
        <w:tc>
          <w:tcPr>
            <w:tcW w:w="1308" w:type="dxa"/>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本年收入合计</w:t>
            </w:r>
          </w:p>
        </w:tc>
        <w:tc>
          <w:tcPr>
            <w:tcW w:w="1343" w:type="dxa"/>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财政拨款收入</w:t>
            </w:r>
          </w:p>
        </w:tc>
        <w:tc>
          <w:tcPr>
            <w:tcW w:w="1198" w:type="dxa"/>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上级补助收入</w:t>
            </w:r>
          </w:p>
        </w:tc>
        <w:tc>
          <w:tcPr>
            <w:tcW w:w="907" w:type="dxa"/>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事业收入</w:t>
            </w:r>
          </w:p>
        </w:tc>
        <w:tc>
          <w:tcPr>
            <w:tcW w:w="907" w:type="dxa"/>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经营收入</w:t>
            </w:r>
          </w:p>
        </w:tc>
        <w:tc>
          <w:tcPr>
            <w:tcW w:w="1214" w:type="dxa"/>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附属单位上缴收入</w:t>
            </w:r>
          </w:p>
        </w:tc>
        <w:tc>
          <w:tcPr>
            <w:tcW w:w="1843" w:type="dxa"/>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其他收入</w:t>
            </w:r>
          </w:p>
        </w:tc>
      </w:tr>
      <w:tr>
        <w:tblPrEx>
          <w:tblCellMar>
            <w:top w:w="0" w:type="dxa"/>
            <w:left w:w="108" w:type="dxa"/>
            <w:bottom w:w="0" w:type="dxa"/>
            <w:right w:w="108" w:type="dxa"/>
          </w:tblCellMar>
        </w:tblPrEx>
        <w:trPr>
          <w:trHeight w:val="300" w:hRule="atLeast"/>
        </w:trPr>
        <w:tc>
          <w:tcPr>
            <w:tcW w:w="1571" w:type="dxa"/>
            <w:gridSpan w:val="3"/>
            <w:vMerge w:val="restart"/>
            <w:tcBorders>
              <w:top w:val="nil"/>
              <w:left w:val="single" w:color="000000" w:sz="4" w:space="0"/>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功能分类科目编码</w:t>
            </w:r>
          </w:p>
        </w:tc>
        <w:tc>
          <w:tcPr>
            <w:tcW w:w="3616" w:type="dxa"/>
            <w:vMerge w:val="restar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科目名称</w:t>
            </w:r>
          </w:p>
        </w:tc>
        <w:tc>
          <w:tcPr>
            <w:tcW w:w="1308"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343"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198"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907"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907"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214"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843" w:type="dxa"/>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1571" w:type="dxa"/>
            <w:gridSpan w:val="3"/>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3616"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308"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343"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198"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907"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907"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214"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843" w:type="dxa"/>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259" w:hRule="atLeast"/>
        </w:trPr>
        <w:tc>
          <w:tcPr>
            <w:tcW w:w="1571" w:type="dxa"/>
            <w:gridSpan w:val="3"/>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3616"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308"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343"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198"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907"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907"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214"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843" w:type="dxa"/>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5187" w:type="dxa"/>
            <w:gridSpan w:val="4"/>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栏次</w:t>
            </w:r>
          </w:p>
        </w:tc>
        <w:tc>
          <w:tcPr>
            <w:tcW w:w="1308"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1</w:t>
            </w:r>
          </w:p>
        </w:tc>
        <w:tc>
          <w:tcPr>
            <w:tcW w:w="1343"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2</w:t>
            </w:r>
          </w:p>
        </w:tc>
        <w:tc>
          <w:tcPr>
            <w:tcW w:w="1198"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3</w:t>
            </w:r>
          </w:p>
        </w:tc>
        <w:tc>
          <w:tcPr>
            <w:tcW w:w="907"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4</w:t>
            </w:r>
          </w:p>
        </w:tc>
        <w:tc>
          <w:tcPr>
            <w:tcW w:w="907"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5</w:t>
            </w:r>
          </w:p>
        </w:tc>
        <w:tc>
          <w:tcPr>
            <w:tcW w:w="1214"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6</w:t>
            </w:r>
          </w:p>
        </w:tc>
        <w:tc>
          <w:tcPr>
            <w:tcW w:w="1843"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7</w:t>
            </w:r>
          </w:p>
        </w:tc>
      </w:tr>
      <w:tr>
        <w:tblPrEx>
          <w:tblCellMar>
            <w:top w:w="0" w:type="dxa"/>
            <w:left w:w="108" w:type="dxa"/>
            <w:bottom w:w="0" w:type="dxa"/>
            <w:right w:w="108" w:type="dxa"/>
          </w:tblCellMar>
        </w:tblPrEx>
        <w:trPr>
          <w:trHeight w:val="300" w:hRule="atLeast"/>
        </w:trPr>
        <w:tc>
          <w:tcPr>
            <w:tcW w:w="5187" w:type="dxa"/>
            <w:gridSpan w:val="4"/>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合计</w:t>
            </w:r>
          </w:p>
        </w:tc>
        <w:tc>
          <w:tcPr>
            <w:tcW w:w="1308" w:type="dxa"/>
            <w:tcBorders>
              <w:top w:val="nil"/>
              <w:left w:val="nil"/>
              <w:bottom w:val="single" w:color="000000" w:sz="4" w:space="0"/>
              <w:right w:val="single" w:color="000000" w:sz="4" w:space="0"/>
            </w:tcBorders>
            <w:shd w:val="clear" w:color="000000" w:fill="FFFFFF"/>
            <w:noWrap/>
            <w:vAlign w:val="center"/>
          </w:tcPr>
          <w:p>
            <w:pPr>
              <w:jc w:val="right"/>
              <w:rPr>
                <w:rFonts w:cs="Arial"/>
                <w:b/>
                <w:bCs/>
                <w:sz w:val="20"/>
                <w:szCs w:val="20"/>
              </w:rPr>
            </w:pPr>
            <w:r>
              <w:rPr>
                <w:rFonts w:hint="eastAsia" w:cs="Arial"/>
                <w:b/>
                <w:bCs/>
                <w:sz w:val="20"/>
                <w:szCs w:val="20"/>
              </w:rPr>
              <w:t>2,579.86</w:t>
            </w:r>
          </w:p>
        </w:tc>
        <w:tc>
          <w:tcPr>
            <w:tcW w:w="1343" w:type="dxa"/>
            <w:tcBorders>
              <w:top w:val="nil"/>
              <w:left w:val="nil"/>
              <w:bottom w:val="single" w:color="000000" w:sz="4" w:space="0"/>
              <w:right w:val="single" w:color="000000" w:sz="4" w:space="0"/>
            </w:tcBorders>
            <w:shd w:val="clear" w:color="000000" w:fill="FFFFFF"/>
            <w:noWrap/>
            <w:vAlign w:val="center"/>
          </w:tcPr>
          <w:p>
            <w:pPr>
              <w:jc w:val="right"/>
              <w:rPr>
                <w:rFonts w:cs="Arial"/>
                <w:b/>
                <w:bCs/>
                <w:sz w:val="20"/>
                <w:szCs w:val="20"/>
              </w:rPr>
            </w:pPr>
            <w:r>
              <w:rPr>
                <w:rFonts w:hint="eastAsia" w:cs="Arial"/>
                <w:b/>
                <w:bCs/>
                <w:sz w:val="20"/>
                <w:szCs w:val="20"/>
              </w:rPr>
              <w:t>1,944.70</w:t>
            </w:r>
          </w:p>
        </w:tc>
        <w:tc>
          <w:tcPr>
            <w:tcW w:w="1198" w:type="dxa"/>
            <w:tcBorders>
              <w:top w:val="nil"/>
              <w:left w:val="nil"/>
              <w:bottom w:val="single" w:color="000000" w:sz="4" w:space="0"/>
              <w:right w:val="single" w:color="000000" w:sz="4" w:space="0"/>
            </w:tcBorders>
            <w:shd w:val="clear" w:color="000000" w:fill="FFFFFF"/>
            <w:noWrap/>
            <w:vAlign w:val="center"/>
          </w:tcPr>
          <w:p>
            <w:pPr>
              <w:jc w:val="right"/>
              <w:rPr>
                <w:rFonts w:cs="Arial"/>
                <w:b/>
                <w:bCs/>
                <w:sz w:val="20"/>
                <w:szCs w:val="20"/>
              </w:rPr>
            </w:pPr>
            <w:r>
              <w:rPr>
                <w:rFonts w:hint="eastAsia" w:cs="Arial"/>
                <w:b/>
                <w:bCs/>
                <w:sz w:val="20"/>
                <w:szCs w:val="20"/>
              </w:rPr>
              <w:t>0.00</w:t>
            </w:r>
          </w:p>
        </w:tc>
        <w:tc>
          <w:tcPr>
            <w:tcW w:w="907" w:type="dxa"/>
            <w:tcBorders>
              <w:top w:val="nil"/>
              <w:left w:val="nil"/>
              <w:bottom w:val="single" w:color="000000" w:sz="4" w:space="0"/>
              <w:right w:val="single" w:color="000000" w:sz="4" w:space="0"/>
            </w:tcBorders>
            <w:shd w:val="clear" w:color="000000" w:fill="FFFFFF"/>
            <w:noWrap/>
            <w:vAlign w:val="center"/>
          </w:tcPr>
          <w:p>
            <w:pPr>
              <w:jc w:val="right"/>
              <w:rPr>
                <w:rFonts w:cs="Arial"/>
                <w:b/>
                <w:bCs/>
                <w:sz w:val="20"/>
                <w:szCs w:val="20"/>
              </w:rPr>
            </w:pPr>
            <w:r>
              <w:rPr>
                <w:rFonts w:hint="eastAsia" w:cs="Arial"/>
                <w:b/>
                <w:bCs/>
                <w:sz w:val="20"/>
                <w:szCs w:val="20"/>
              </w:rPr>
              <w:t>0.00</w:t>
            </w:r>
          </w:p>
        </w:tc>
        <w:tc>
          <w:tcPr>
            <w:tcW w:w="907" w:type="dxa"/>
            <w:tcBorders>
              <w:top w:val="nil"/>
              <w:left w:val="nil"/>
              <w:bottom w:val="single" w:color="000000" w:sz="4" w:space="0"/>
              <w:right w:val="single" w:color="000000" w:sz="4" w:space="0"/>
            </w:tcBorders>
            <w:shd w:val="clear" w:color="000000" w:fill="FFFFFF"/>
            <w:noWrap/>
            <w:vAlign w:val="center"/>
          </w:tcPr>
          <w:p>
            <w:pPr>
              <w:jc w:val="right"/>
              <w:rPr>
                <w:rFonts w:cs="Arial"/>
                <w:b/>
                <w:bCs/>
                <w:sz w:val="20"/>
                <w:szCs w:val="20"/>
              </w:rPr>
            </w:pPr>
            <w:r>
              <w:rPr>
                <w:rFonts w:hint="eastAsia" w:cs="Arial"/>
                <w:b/>
                <w:bCs/>
                <w:sz w:val="20"/>
                <w:szCs w:val="20"/>
              </w:rPr>
              <w:t>0.00</w:t>
            </w:r>
          </w:p>
        </w:tc>
        <w:tc>
          <w:tcPr>
            <w:tcW w:w="1214" w:type="dxa"/>
            <w:tcBorders>
              <w:top w:val="nil"/>
              <w:left w:val="nil"/>
              <w:bottom w:val="single" w:color="000000" w:sz="4" w:space="0"/>
              <w:right w:val="single" w:color="000000" w:sz="4" w:space="0"/>
            </w:tcBorders>
            <w:shd w:val="clear" w:color="000000" w:fill="FFFFFF"/>
            <w:noWrap/>
            <w:vAlign w:val="center"/>
          </w:tcPr>
          <w:p>
            <w:pPr>
              <w:jc w:val="right"/>
              <w:rPr>
                <w:rFonts w:cs="Arial"/>
                <w:b/>
                <w:bCs/>
                <w:sz w:val="20"/>
                <w:szCs w:val="20"/>
              </w:rPr>
            </w:pPr>
            <w:r>
              <w:rPr>
                <w:rFonts w:hint="eastAsia" w:cs="Arial"/>
                <w:b/>
                <w:bCs/>
                <w:sz w:val="20"/>
                <w:szCs w:val="20"/>
              </w:rPr>
              <w:t>0.00</w:t>
            </w:r>
          </w:p>
        </w:tc>
        <w:tc>
          <w:tcPr>
            <w:tcW w:w="1843" w:type="dxa"/>
            <w:tcBorders>
              <w:top w:val="nil"/>
              <w:left w:val="nil"/>
              <w:bottom w:val="single" w:color="000000" w:sz="4" w:space="0"/>
              <w:right w:val="single" w:color="000000" w:sz="4" w:space="0"/>
            </w:tcBorders>
            <w:shd w:val="clear" w:color="000000" w:fill="FFFFFF"/>
            <w:noWrap/>
            <w:vAlign w:val="center"/>
          </w:tcPr>
          <w:p>
            <w:pPr>
              <w:jc w:val="right"/>
              <w:rPr>
                <w:rFonts w:cs="Arial"/>
                <w:b/>
                <w:bCs/>
                <w:sz w:val="20"/>
                <w:szCs w:val="20"/>
              </w:rPr>
            </w:pPr>
            <w:r>
              <w:rPr>
                <w:rFonts w:hint="eastAsia" w:cs="Arial"/>
                <w:b/>
                <w:bCs/>
                <w:sz w:val="20"/>
                <w:szCs w:val="20"/>
              </w:rPr>
              <w:t>635.16</w:t>
            </w:r>
          </w:p>
        </w:tc>
      </w:tr>
      <w:tr>
        <w:tblPrEx>
          <w:tblCellMar>
            <w:top w:w="0" w:type="dxa"/>
            <w:left w:w="108" w:type="dxa"/>
            <w:bottom w:w="0" w:type="dxa"/>
            <w:right w:w="108" w:type="dxa"/>
          </w:tblCellMar>
        </w:tblPrEx>
        <w:trPr>
          <w:trHeight w:val="300" w:hRule="atLeast"/>
        </w:trPr>
        <w:tc>
          <w:tcPr>
            <w:tcW w:w="1571" w:type="dxa"/>
            <w:gridSpan w:val="3"/>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204</w:t>
            </w:r>
          </w:p>
        </w:tc>
        <w:tc>
          <w:tcPr>
            <w:tcW w:w="3616" w:type="dxa"/>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公共安全支出</w:t>
            </w:r>
          </w:p>
        </w:tc>
        <w:tc>
          <w:tcPr>
            <w:tcW w:w="1308"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2,014.54</w:t>
            </w:r>
          </w:p>
        </w:tc>
        <w:tc>
          <w:tcPr>
            <w:tcW w:w="1343"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1,618.27</w:t>
            </w:r>
          </w:p>
        </w:tc>
        <w:tc>
          <w:tcPr>
            <w:tcW w:w="1198"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907"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907"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1214"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1843"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396.27</w:t>
            </w:r>
          </w:p>
        </w:tc>
      </w:tr>
      <w:tr>
        <w:tblPrEx>
          <w:tblCellMar>
            <w:top w:w="0" w:type="dxa"/>
            <w:left w:w="108" w:type="dxa"/>
            <w:bottom w:w="0" w:type="dxa"/>
            <w:right w:w="108" w:type="dxa"/>
          </w:tblCellMar>
        </w:tblPrEx>
        <w:trPr>
          <w:trHeight w:val="300" w:hRule="atLeast"/>
        </w:trPr>
        <w:tc>
          <w:tcPr>
            <w:tcW w:w="1571" w:type="dxa"/>
            <w:gridSpan w:val="3"/>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20404</w:t>
            </w:r>
          </w:p>
        </w:tc>
        <w:tc>
          <w:tcPr>
            <w:tcW w:w="3616" w:type="dxa"/>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检察</w:t>
            </w:r>
          </w:p>
        </w:tc>
        <w:tc>
          <w:tcPr>
            <w:tcW w:w="1308"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2,014.54</w:t>
            </w:r>
          </w:p>
        </w:tc>
        <w:tc>
          <w:tcPr>
            <w:tcW w:w="1343"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1,618.27</w:t>
            </w:r>
          </w:p>
        </w:tc>
        <w:tc>
          <w:tcPr>
            <w:tcW w:w="1198"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907"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907"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1214"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1843"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396.27</w:t>
            </w:r>
          </w:p>
        </w:tc>
      </w:tr>
      <w:tr>
        <w:tblPrEx>
          <w:tblCellMar>
            <w:top w:w="0" w:type="dxa"/>
            <w:left w:w="108" w:type="dxa"/>
            <w:bottom w:w="0" w:type="dxa"/>
            <w:right w:w="108" w:type="dxa"/>
          </w:tblCellMar>
        </w:tblPrEx>
        <w:trPr>
          <w:trHeight w:val="300" w:hRule="atLeast"/>
        </w:trPr>
        <w:tc>
          <w:tcPr>
            <w:tcW w:w="1571" w:type="dxa"/>
            <w:gridSpan w:val="3"/>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2040401</w:t>
            </w:r>
          </w:p>
        </w:tc>
        <w:tc>
          <w:tcPr>
            <w:tcW w:w="3616" w:type="dxa"/>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行政运行</w:t>
            </w:r>
          </w:p>
        </w:tc>
        <w:tc>
          <w:tcPr>
            <w:tcW w:w="1308"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1,707.77</w:t>
            </w:r>
          </w:p>
        </w:tc>
        <w:tc>
          <w:tcPr>
            <w:tcW w:w="1343"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1,311.50</w:t>
            </w:r>
          </w:p>
        </w:tc>
        <w:tc>
          <w:tcPr>
            <w:tcW w:w="1198"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90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90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214"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843"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396.27</w:t>
            </w:r>
          </w:p>
        </w:tc>
      </w:tr>
      <w:tr>
        <w:tblPrEx>
          <w:tblCellMar>
            <w:top w:w="0" w:type="dxa"/>
            <w:left w:w="108" w:type="dxa"/>
            <w:bottom w:w="0" w:type="dxa"/>
            <w:right w:w="108" w:type="dxa"/>
          </w:tblCellMar>
        </w:tblPrEx>
        <w:trPr>
          <w:trHeight w:val="300" w:hRule="atLeast"/>
        </w:trPr>
        <w:tc>
          <w:tcPr>
            <w:tcW w:w="1571" w:type="dxa"/>
            <w:gridSpan w:val="3"/>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2040402</w:t>
            </w:r>
          </w:p>
        </w:tc>
        <w:tc>
          <w:tcPr>
            <w:tcW w:w="3616" w:type="dxa"/>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一般行政管理事务</w:t>
            </w:r>
          </w:p>
        </w:tc>
        <w:tc>
          <w:tcPr>
            <w:tcW w:w="1308"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240.77</w:t>
            </w:r>
          </w:p>
        </w:tc>
        <w:tc>
          <w:tcPr>
            <w:tcW w:w="1343"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240.77</w:t>
            </w:r>
          </w:p>
        </w:tc>
        <w:tc>
          <w:tcPr>
            <w:tcW w:w="1198"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90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90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214"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843"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571" w:type="dxa"/>
            <w:gridSpan w:val="3"/>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2040410</w:t>
            </w:r>
          </w:p>
        </w:tc>
        <w:tc>
          <w:tcPr>
            <w:tcW w:w="3616" w:type="dxa"/>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检察监督</w:t>
            </w:r>
          </w:p>
        </w:tc>
        <w:tc>
          <w:tcPr>
            <w:tcW w:w="1308"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66.00</w:t>
            </w:r>
          </w:p>
        </w:tc>
        <w:tc>
          <w:tcPr>
            <w:tcW w:w="1343"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66.00</w:t>
            </w:r>
          </w:p>
        </w:tc>
        <w:tc>
          <w:tcPr>
            <w:tcW w:w="1198"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90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90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214"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843"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571" w:type="dxa"/>
            <w:gridSpan w:val="3"/>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205</w:t>
            </w:r>
          </w:p>
        </w:tc>
        <w:tc>
          <w:tcPr>
            <w:tcW w:w="3616" w:type="dxa"/>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教育支出</w:t>
            </w:r>
          </w:p>
        </w:tc>
        <w:tc>
          <w:tcPr>
            <w:tcW w:w="1308"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1343"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1198"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907"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907"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1214"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1843"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571" w:type="dxa"/>
            <w:gridSpan w:val="3"/>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20508</w:t>
            </w:r>
          </w:p>
        </w:tc>
        <w:tc>
          <w:tcPr>
            <w:tcW w:w="3616" w:type="dxa"/>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进修及培训</w:t>
            </w:r>
          </w:p>
        </w:tc>
        <w:tc>
          <w:tcPr>
            <w:tcW w:w="1308"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1343"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1198"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907"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907"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1214"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1843"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571" w:type="dxa"/>
            <w:gridSpan w:val="3"/>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2050803</w:t>
            </w:r>
          </w:p>
        </w:tc>
        <w:tc>
          <w:tcPr>
            <w:tcW w:w="3616" w:type="dxa"/>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培训支出</w:t>
            </w:r>
          </w:p>
        </w:tc>
        <w:tc>
          <w:tcPr>
            <w:tcW w:w="1308"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343"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198"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90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90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214"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843"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571" w:type="dxa"/>
            <w:gridSpan w:val="3"/>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208</w:t>
            </w:r>
          </w:p>
        </w:tc>
        <w:tc>
          <w:tcPr>
            <w:tcW w:w="3616" w:type="dxa"/>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社会保障和就业支出</w:t>
            </w:r>
          </w:p>
        </w:tc>
        <w:tc>
          <w:tcPr>
            <w:tcW w:w="1308"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297.52</w:t>
            </w:r>
          </w:p>
        </w:tc>
        <w:tc>
          <w:tcPr>
            <w:tcW w:w="1343"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100.00</w:t>
            </w:r>
          </w:p>
        </w:tc>
        <w:tc>
          <w:tcPr>
            <w:tcW w:w="1198"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907"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907"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1214"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1843"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197.52</w:t>
            </w:r>
          </w:p>
        </w:tc>
      </w:tr>
      <w:tr>
        <w:tblPrEx>
          <w:tblCellMar>
            <w:top w:w="0" w:type="dxa"/>
            <w:left w:w="108" w:type="dxa"/>
            <w:bottom w:w="0" w:type="dxa"/>
            <w:right w:w="108" w:type="dxa"/>
          </w:tblCellMar>
        </w:tblPrEx>
        <w:trPr>
          <w:trHeight w:val="300" w:hRule="atLeast"/>
        </w:trPr>
        <w:tc>
          <w:tcPr>
            <w:tcW w:w="1571" w:type="dxa"/>
            <w:gridSpan w:val="3"/>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20805</w:t>
            </w:r>
          </w:p>
        </w:tc>
        <w:tc>
          <w:tcPr>
            <w:tcW w:w="3616" w:type="dxa"/>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行政事业单位养老支出</w:t>
            </w:r>
          </w:p>
        </w:tc>
        <w:tc>
          <w:tcPr>
            <w:tcW w:w="1308"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286.52</w:t>
            </w:r>
          </w:p>
        </w:tc>
        <w:tc>
          <w:tcPr>
            <w:tcW w:w="1343"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89.00</w:t>
            </w:r>
          </w:p>
        </w:tc>
        <w:tc>
          <w:tcPr>
            <w:tcW w:w="1198"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907"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907"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1214"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1843"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197.52</w:t>
            </w:r>
          </w:p>
        </w:tc>
      </w:tr>
      <w:tr>
        <w:tblPrEx>
          <w:tblCellMar>
            <w:top w:w="0" w:type="dxa"/>
            <w:left w:w="108" w:type="dxa"/>
            <w:bottom w:w="0" w:type="dxa"/>
            <w:right w:w="108" w:type="dxa"/>
          </w:tblCellMar>
        </w:tblPrEx>
        <w:trPr>
          <w:trHeight w:val="300" w:hRule="atLeast"/>
        </w:trPr>
        <w:tc>
          <w:tcPr>
            <w:tcW w:w="1571" w:type="dxa"/>
            <w:gridSpan w:val="3"/>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2080501</w:t>
            </w:r>
          </w:p>
        </w:tc>
        <w:tc>
          <w:tcPr>
            <w:tcW w:w="3616" w:type="dxa"/>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行政单位离退休</w:t>
            </w:r>
          </w:p>
        </w:tc>
        <w:tc>
          <w:tcPr>
            <w:tcW w:w="1308"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209.52</w:t>
            </w:r>
          </w:p>
        </w:tc>
        <w:tc>
          <w:tcPr>
            <w:tcW w:w="1343"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12.00</w:t>
            </w:r>
          </w:p>
        </w:tc>
        <w:tc>
          <w:tcPr>
            <w:tcW w:w="1198"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90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90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214"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843"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197.52</w:t>
            </w:r>
          </w:p>
        </w:tc>
      </w:tr>
      <w:tr>
        <w:tblPrEx>
          <w:tblCellMar>
            <w:top w:w="0" w:type="dxa"/>
            <w:left w:w="108" w:type="dxa"/>
            <w:bottom w:w="0" w:type="dxa"/>
            <w:right w:w="108" w:type="dxa"/>
          </w:tblCellMar>
        </w:tblPrEx>
        <w:trPr>
          <w:trHeight w:val="300" w:hRule="atLeast"/>
        </w:trPr>
        <w:tc>
          <w:tcPr>
            <w:tcW w:w="1571" w:type="dxa"/>
            <w:gridSpan w:val="3"/>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2080505</w:t>
            </w:r>
          </w:p>
        </w:tc>
        <w:tc>
          <w:tcPr>
            <w:tcW w:w="3616" w:type="dxa"/>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机关事业单位基本养老保险缴费支出</w:t>
            </w:r>
          </w:p>
        </w:tc>
        <w:tc>
          <w:tcPr>
            <w:tcW w:w="1308"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77.00</w:t>
            </w:r>
          </w:p>
        </w:tc>
        <w:tc>
          <w:tcPr>
            <w:tcW w:w="1343"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77.00</w:t>
            </w:r>
          </w:p>
        </w:tc>
        <w:tc>
          <w:tcPr>
            <w:tcW w:w="1198"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90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90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214"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843"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571" w:type="dxa"/>
            <w:gridSpan w:val="3"/>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20899</w:t>
            </w:r>
          </w:p>
        </w:tc>
        <w:tc>
          <w:tcPr>
            <w:tcW w:w="3616" w:type="dxa"/>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其他社会保障和就业支出</w:t>
            </w:r>
          </w:p>
        </w:tc>
        <w:tc>
          <w:tcPr>
            <w:tcW w:w="1308"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11.00</w:t>
            </w:r>
          </w:p>
        </w:tc>
        <w:tc>
          <w:tcPr>
            <w:tcW w:w="1343"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11.00</w:t>
            </w:r>
          </w:p>
        </w:tc>
        <w:tc>
          <w:tcPr>
            <w:tcW w:w="1198"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907"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907"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1214"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1843"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571" w:type="dxa"/>
            <w:gridSpan w:val="3"/>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2089901</w:t>
            </w:r>
          </w:p>
        </w:tc>
        <w:tc>
          <w:tcPr>
            <w:tcW w:w="3616" w:type="dxa"/>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其他社会保障和就业支出</w:t>
            </w:r>
          </w:p>
        </w:tc>
        <w:tc>
          <w:tcPr>
            <w:tcW w:w="1308"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11.00</w:t>
            </w:r>
          </w:p>
        </w:tc>
        <w:tc>
          <w:tcPr>
            <w:tcW w:w="1343"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11.00</w:t>
            </w:r>
          </w:p>
        </w:tc>
        <w:tc>
          <w:tcPr>
            <w:tcW w:w="1198"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90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90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214"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843"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571" w:type="dxa"/>
            <w:gridSpan w:val="3"/>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210</w:t>
            </w:r>
          </w:p>
        </w:tc>
        <w:tc>
          <w:tcPr>
            <w:tcW w:w="3616" w:type="dxa"/>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卫生健康支出</w:t>
            </w:r>
          </w:p>
        </w:tc>
        <w:tc>
          <w:tcPr>
            <w:tcW w:w="1308"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81.36</w:t>
            </w:r>
          </w:p>
        </w:tc>
        <w:tc>
          <w:tcPr>
            <w:tcW w:w="1343"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40.00</w:t>
            </w:r>
          </w:p>
        </w:tc>
        <w:tc>
          <w:tcPr>
            <w:tcW w:w="1198"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907"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907"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1214"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1843"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41.36</w:t>
            </w:r>
          </w:p>
        </w:tc>
      </w:tr>
      <w:tr>
        <w:tblPrEx>
          <w:tblCellMar>
            <w:top w:w="0" w:type="dxa"/>
            <w:left w:w="108" w:type="dxa"/>
            <w:bottom w:w="0" w:type="dxa"/>
            <w:right w:w="108" w:type="dxa"/>
          </w:tblCellMar>
        </w:tblPrEx>
        <w:trPr>
          <w:trHeight w:val="300" w:hRule="atLeast"/>
        </w:trPr>
        <w:tc>
          <w:tcPr>
            <w:tcW w:w="1571" w:type="dxa"/>
            <w:gridSpan w:val="3"/>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21011</w:t>
            </w:r>
          </w:p>
        </w:tc>
        <w:tc>
          <w:tcPr>
            <w:tcW w:w="3616" w:type="dxa"/>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行政事业单位医疗</w:t>
            </w:r>
          </w:p>
        </w:tc>
        <w:tc>
          <w:tcPr>
            <w:tcW w:w="1308"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81.36</w:t>
            </w:r>
          </w:p>
        </w:tc>
        <w:tc>
          <w:tcPr>
            <w:tcW w:w="1343"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40.00</w:t>
            </w:r>
          </w:p>
        </w:tc>
        <w:tc>
          <w:tcPr>
            <w:tcW w:w="1198"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907"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907"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1214"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1843"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41.36</w:t>
            </w:r>
          </w:p>
        </w:tc>
      </w:tr>
      <w:tr>
        <w:tblPrEx>
          <w:tblCellMar>
            <w:top w:w="0" w:type="dxa"/>
            <w:left w:w="108" w:type="dxa"/>
            <w:bottom w:w="0" w:type="dxa"/>
            <w:right w:w="108" w:type="dxa"/>
          </w:tblCellMar>
        </w:tblPrEx>
        <w:trPr>
          <w:trHeight w:val="300" w:hRule="atLeast"/>
        </w:trPr>
        <w:tc>
          <w:tcPr>
            <w:tcW w:w="1571" w:type="dxa"/>
            <w:gridSpan w:val="3"/>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2101101</w:t>
            </w:r>
          </w:p>
        </w:tc>
        <w:tc>
          <w:tcPr>
            <w:tcW w:w="3616" w:type="dxa"/>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行政单位医疗</w:t>
            </w:r>
          </w:p>
        </w:tc>
        <w:tc>
          <w:tcPr>
            <w:tcW w:w="1308"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81.36</w:t>
            </w:r>
          </w:p>
        </w:tc>
        <w:tc>
          <w:tcPr>
            <w:tcW w:w="1343"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40.00</w:t>
            </w:r>
          </w:p>
        </w:tc>
        <w:tc>
          <w:tcPr>
            <w:tcW w:w="1198"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90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90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214"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843"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41.36</w:t>
            </w:r>
          </w:p>
        </w:tc>
      </w:tr>
      <w:tr>
        <w:tblPrEx>
          <w:tblCellMar>
            <w:top w:w="0" w:type="dxa"/>
            <w:left w:w="108" w:type="dxa"/>
            <w:bottom w:w="0" w:type="dxa"/>
            <w:right w:w="108" w:type="dxa"/>
          </w:tblCellMar>
        </w:tblPrEx>
        <w:trPr>
          <w:trHeight w:val="300" w:hRule="atLeast"/>
        </w:trPr>
        <w:tc>
          <w:tcPr>
            <w:tcW w:w="1571" w:type="dxa"/>
            <w:gridSpan w:val="3"/>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221</w:t>
            </w:r>
          </w:p>
        </w:tc>
        <w:tc>
          <w:tcPr>
            <w:tcW w:w="3616" w:type="dxa"/>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住房保障支出</w:t>
            </w:r>
          </w:p>
        </w:tc>
        <w:tc>
          <w:tcPr>
            <w:tcW w:w="1308"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186.43</w:t>
            </w:r>
          </w:p>
        </w:tc>
        <w:tc>
          <w:tcPr>
            <w:tcW w:w="1343"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186.43</w:t>
            </w:r>
          </w:p>
        </w:tc>
        <w:tc>
          <w:tcPr>
            <w:tcW w:w="1198"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907"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907"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1214"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1843"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571" w:type="dxa"/>
            <w:gridSpan w:val="3"/>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22102</w:t>
            </w:r>
          </w:p>
        </w:tc>
        <w:tc>
          <w:tcPr>
            <w:tcW w:w="3616" w:type="dxa"/>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住房改革支出</w:t>
            </w:r>
          </w:p>
        </w:tc>
        <w:tc>
          <w:tcPr>
            <w:tcW w:w="1308"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186.43</w:t>
            </w:r>
          </w:p>
        </w:tc>
        <w:tc>
          <w:tcPr>
            <w:tcW w:w="1343"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186.43</w:t>
            </w:r>
          </w:p>
        </w:tc>
        <w:tc>
          <w:tcPr>
            <w:tcW w:w="1198"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907"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907"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1214"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1843"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1571" w:type="dxa"/>
            <w:gridSpan w:val="3"/>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2210201</w:t>
            </w:r>
          </w:p>
        </w:tc>
        <w:tc>
          <w:tcPr>
            <w:tcW w:w="3616" w:type="dxa"/>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住房公积金</w:t>
            </w:r>
          </w:p>
        </w:tc>
        <w:tc>
          <w:tcPr>
            <w:tcW w:w="1308"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186.43</w:t>
            </w:r>
          </w:p>
        </w:tc>
        <w:tc>
          <w:tcPr>
            <w:tcW w:w="1343"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186.43</w:t>
            </w:r>
          </w:p>
        </w:tc>
        <w:tc>
          <w:tcPr>
            <w:tcW w:w="1198"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90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90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214"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843"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3907" w:type="dxa"/>
            <w:gridSpan w:val="11"/>
            <w:tcBorders>
              <w:top w:val="nil"/>
              <w:left w:val="nil"/>
              <w:bottom w:val="nil"/>
              <w:right w:val="nil"/>
            </w:tcBorders>
            <w:shd w:val="clear" w:color="000000" w:fill="FFFFFF"/>
            <w:noWrap/>
            <w:vAlign w:val="center"/>
          </w:tcPr>
          <w:p>
            <w:pPr>
              <w:rPr>
                <w:rFonts w:cs="Arial"/>
                <w:sz w:val="20"/>
                <w:szCs w:val="20"/>
              </w:rPr>
            </w:pPr>
            <w:r>
              <w:rPr>
                <w:rFonts w:hint="eastAsia" w:cs="Arial"/>
                <w:sz w:val="20"/>
                <w:szCs w:val="20"/>
              </w:rPr>
              <w:t>注：本表反映部门本年度取得的各项收入情况。</w:t>
            </w:r>
          </w:p>
        </w:tc>
      </w:tr>
    </w:tbl>
    <w:p>
      <w:pPr>
        <w:pStyle w:val="13"/>
        <w:spacing w:before="0" w:beforeAutospacing="0"/>
        <w:outlineLvl w:val="1"/>
        <w:rPr>
          <w:shd w:val="clear" w:color="auto" w:fill="FFFFFF"/>
        </w:rPr>
      </w:pPr>
    </w:p>
    <w:p>
      <w:pPr>
        <w:pStyle w:val="13"/>
        <w:spacing w:before="0" w:beforeAutospacing="0"/>
        <w:outlineLvl w:val="1"/>
        <w:rPr>
          <w:rFonts w:ascii="楷体_GB2312" w:hAnsi="楷体" w:eastAsia="楷体_GB2312" w:cs="楷体"/>
          <w:sz w:val="32"/>
          <w:szCs w:val="32"/>
          <w:shd w:val="clear" w:color="auto" w:fill="FFFFFF"/>
        </w:rPr>
      </w:pPr>
      <w:bookmarkStart w:id="8" w:name="_Toc6985"/>
      <w:r>
        <w:rPr>
          <w:rFonts w:hint="eastAsia" w:ascii="楷体_GB2312" w:hAnsi="楷体" w:eastAsia="楷体_GB2312" w:cs="楷体"/>
          <w:sz w:val="32"/>
          <w:szCs w:val="32"/>
          <w:shd w:val="clear" w:color="auto" w:fill="FFFFFF"/>
        </w:rPr>
        <w:t>三、支出决算表</w:t>
      </w:r>
      <w:bookmarkEnd w:id="8"/>
    </w:p>
    <w:tbl>
      <w:tblPr>
        <w:tblStyle w:val="14"/>
        <w:tblW w:w="0" w:type="auto"/>
        <w:tblInd w:w="93" w:type="dxa"/>
        <w:tblLayout w:type="autofit"/>
        <w:tblCellMar>
          <w:top w:w="0" w:type="dxa"/>
          <w:left w:w="108" w:type="dxa"/>
          <w:bottom w:w="0" w:type="dxa"/>
          <w:right w:w="108" w:type="dxa"/>
        </w:tblCellMar>
      </w:tblPr>
      <w:tblGrid>
        <w:gridCol w:w="222"/>
        <w:gridCol w:w="222"/>
        <w:gridCol w:w="1913"/>
        <w:gridCol w:w="3470"/>
        <w:gridCol w:w="1559"/>
        <w:gridCol w:w="1134"/>
        <w:gridCol w:w="1276"/>
        <w:gridCol w:w="1276"/>
        <w:gridCol w:w="850"/>
        <w:gridCol w:w="2023"/>
      </w:tblGrid>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913"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3470"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559"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134"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276"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276"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850"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2023" w:type="dxa"/>
            <w:tcBorders>
              <w:top w:val="nil"/>
              <w:left w:val="nil"/>
              <w:bottom w:val="nil"/>
              <w:right w:val="single" w:color="808080" w:sz="4" w:space="0"/>
            </w:tcBorders>
            <w:shd w:val="clear" w:color="000000" w:fill="FFFFFF"/>
            <w:noWrap/>
            <w:vAlign w:val="center"/>
          </w:tcPr>
          <w:p>
            <w:pPr>
              <w:jc w:val="right"/>
              <w:rPr>
                <w:rFonts w:cs="Arial"/>
                <w:color w:val="000000"/>
                <w:sz w:val="22"/>
                <w:szCs w:val="22"/>
              </w:rPr>
            </w:pPr>
            <w:r>
              <w:rPr>
                <w:rFonts w:hint="eastAsia" w:cs="Arial"/>
                <w:color w:val="000000"/>
                <w:sz w:val="22"/>
                <w:szCs w:val="22"/>
              </w:rPr>
              <w:t>公开03表</w:t>
            </w:r>
          </w:p>
        </w:tc>
      </w:tr>
      <w:tr>
        <w:tblPrEx>
          <w:tblCellMar>
            <w:top w:w="0" w:type="dxa"/>
            <w:left w:w="108" w:type="dxa"/>
            <w:bottom w:w="0" w:type="dxa"/>
            <w:right w:w="108" w:type="dxa"/>
          </w:tblCellMar>
        </w:tblPrEx>
        <w:trPr>
          <w:trHeight w:val="300" w:hRule="atLeast"/>
        </w:trPr>
        <w:tc>
          <w:tcPr>
            <w:tcW w:w="5827" w:type="dxa"/>
            <w:gridSpan w:val="4"/>
            <w:tcBorders>
              <w:top w:val="nil"/>
              <w:left w:val="nil"/>
              <w:bottom w:val="single" w:color="808080" w:sz="4" w:space="0"/>
              <w:right w:val="nil"/>
            </w:tcBorders>
            <w:shd w:val="clear" w:color="000000" w:fill="FFFFFF"/>
            <w:noWrap/>
            <w:vAlign w:val="center"/>
          </w:tcPr>
          <w:p>
            <w:pPr>
              <w:rPr>
                <w:rFonts w:cs="Arial"/>
                <w:color w:val="000000"/>
                <w:sz w:val="22"/>
                <w:szCs w:val="22"/>
              </w:rPr>
            </w:pPr>
            <w:r>
              <w:rPr>
                <w:rFonts w:hint="eastAsia" w:cs="Arial"/>
                <w:color w:val="000000"/>
                <w:sz w:val="22"/>
                <w:szCs w:val="22"/>
              </w:rPr>
              <w:t>部门：常德市武陵区人民检察院</w:t>
            </w:r>
          </w:p>
        </w:tc>
        <w:tc>
          <w:tcPr>
            <w:tcW w:w="1559" w:type="dxa"/>
            <w:tcBorders>
              <w:top w:val="nil"/>
              <w:left w:val="nil"/>
              <w:bottom w:val="single" w:color="808080" w:sz="4" w:space="0"/>
              <w:right w:val="nil"/>
            </w:tcBorders>
            <w:shd w:val="clear" w:color="000000" w:fill="FFFFFF"/>
            <w:noWrap/>
            <w:vAlign w:val="center"/>
          </w:tcPr>
          <w:p>
            <w:pPr>
              <w:jc w:val="center"/>
              <w:rPr>
                <w:rFonts w:cs="Arial"/>
                <w:color w:val="000000"/>
                <w:sz w:val="22"/>
                <w:szCs w:val="22"/>
              </w:rPr>
            </w:pPr>
            <w:r>
              <w:rPr>
                <w:rFonts w:hint="eastAsia" w:cs="Arial"/>
                <w:color w:val="000000"/>
                <w:sz w:val="22"/>
                <w:szCs w:val="22"/>
              </w:rPr>
              <w:t>2020年度</w:t>
            </w:r>
          </w:p>
        </w:tc>
        <w:tc>
          <w:tcPr>
            <w:tcW w:w="1134" w:type="dxa"/>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1276" w:type="dxa"/>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1276" w:type="dxa"/>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850" w:type="dxa"/>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2023" w:type="dxa"/>
            <w:tcBorders>
              <w:top w:val="nil"/>
              <w:left w:val="nil"/>
              <w:bottom w:val="single" w:color="808080" w:sz="4" w:space="0"/>
              <w:right w:val="single" w:color="808080" w:sz="4" w:space="0"/>
            </w:tcBorders>
            <w:shd w:val="clear" w:color="000000" w:fill="FFFFFF"/>
            <w:noWrap/>
            <w:vAlign w:val="center"/>
          </w:tcPr>
          <w:p>
            <w:pPr>
              <w:jc w:val="right"/>
              <w:rPr>
                <w:rFonts w:cs="Arial"/>
                <w:color w:val="000000"/>
                <w:sz w:val="22"/>
                <w:szCs w:val="22"/>
              </w:rPr>
            </w:pPr>
            <w:r>
              <w:rPr>
                <w:rFonts w:hint="eastAsia" w:cs="Arial"/>
                <w:color w:val="000000"/>
                <w:sz w:val="22"/>
                <w:szCs w:val="22"/>
              </w:rPr>
              <w:t>金额单位：万元</w:t>
            </w:r>
          </w:p>
        </w:tc>
      </w:tr>
      <w:tr>
        <w:tblPrEx>
          <w:tblCellMar>
            <w:top w:w="0" w:type="dxa"/>
            <w:left w:w="108" w:type="dxa"/>
            <w:bottom w:w="0" w:type="dxa"/>
            <w:right w:w="108" w:type="dxa"/>
          </w:tblCellMar>
        </w:tblPrEx>
        <w:trPr>
          <w:trHeight w:val="300" w:hRule="atLeast"/>
        </w:trPr>
        <w:tc>
          <w:tcPr>
            <w:tcW w:w="5827" w:type="dxa"/>
            <w:gridSpan w:val="4"/>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项目</w:t>
            </w:r>
          </w:p>
        </w:tc>
        <w:tc>
          <w:tcPr>
            <w:tcW w:w="1559" w:type="dxa"/>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本年支出合计</w:t>
            </w:r>
          </w:p>
        </w:tc>
        <w:tc>
          <w:tcPr>
            <w:tcW w:w="1134" w:type="dxa"/>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基本支出</w:t>
            </w:r>
          </w:p>
        </w:tc>
        <w:tc>
          <w:tcPr>
            <w:tcW w:w="1276" w:type="dxa"/>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项目支出</w:t>
            </w:r>
          </w:p>
        </w:tc>
        <w:tc>
          <w:tcPr>
            <w:tcW w:w="1276" w:type="dxa"/>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上缴上级支出</w:t>
            </w:r>
          </w:p>
        </w:tc>
        <w:tc>
          <w:tcPr>
            <w:tcW w:w="850" w:type="dxa"/>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经营支出</w:t>
            </w:r>
          </w:p>
        </w:tc>
        <w:tc>
          <w:tcPr>
            <w:tcW w:w="2023" w:type="dxa"/>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对附属单位补助支出</w:t>
            </w:r>
          </w:p>
        </w:tc>
      </w:tr>
      <w:tr>
        <w:tblPrEx>
          <w:tblCellMar>
            <w:top w:w="0" w:type="dxa"/>
            <w:left w:w="108" w:type="dxa"/>
            <w:bottom w:w="0" w:type="dxa"/>
            <w:right w:w="108" w:type="dxa"/>
          </w:tblCellMar>
        </w:tblPrEx>
        <w:trPr>
          <w:trHeight w:val="300" w:hRule="atLeast"/>
        </w:trPr>
        <w:tc>
          <w:tcPr>
            <w:tcW w:w="2357" w:type="dxa"/>
            <w:gridSpan w:val="3"/>
            <w:vMerge w:val="restart"/>
            <w:tcBorders>
              <w:top w:val="nil"/>
              <w:left w:val="single" w:color="000000" w:sz="4" w:space="0"/>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功能分类科目编码</w:t>
            </w:r>
          </w:p>
        </w:tc>
        <w:tc>
          <w:tcPr>
            <w:tcW w:w="3470" w:type="dxa"/>
            <w:vMerge w:val="restar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科目名称</w:t>
            </w:r>
          </w:p>
        </w:tc>
        <w:tc>
          <w:tcPr>
            <w:tcW w:w="1559"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134"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276"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276"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850"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2023" w:type="dxa"/>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2357" w:type="dxa"/>
            <w:gridSpan w:val="3"/>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3470"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559"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134"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276"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276"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850"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2023" w:type="dxa"/>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2357" w:type="dxa"/>
            <w:gridSpan w:val="3"/>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3470"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559"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134"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276"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276"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850"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2023" w:type="dxa"/>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5827" w:type="dxa"/>
            <w:gridSpan w:val="4"/>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栏次</w:t>
            </w:r>
          </w:p>
        </w:tc>
        <w:tc>
          <w:tcPr>
            <w:tcW w:w="1559"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1</w:t>
            </w:r>
          </w:p>
        </w:tc>
        <w:tc>
          <w:tcPr>
            <w:tcW w:w="1134"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2</w:t>
            </w:r>
          </w:p>
        </w:tc>
        <w:tc>
          <w:tcPr>
            <w:tcW w:w="1276"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3</w:t>
            </w:r>
          </w:p>
        </w:tc>
        <w:tc>
          <w:tcPr>
            <w:tcW w:w="1276"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4</w:t>
            </w:r>
          </w:p>
        </w:tc>
        <w:tc>
          <w:tcPr>
            <w:tcW w:w="850"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5</w:t>
            </w:r>
          </w:p>
        </w:tc>
        <w:tc>
          <w:tcPr>
            <w:tcW w:w="2023" w:type="dxa"/>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6</w:t>
            </w:r>
          </w:p>
        </w:tc>
      </w:tr>
      <w:tr>
        <w:tblPrEx>
          <w:tblCellMar>
            <w:top w:w="0" w:type="dxa"/>
            <w:left w:w="108" w:type="dxa"/>
            <w:bottom w:w="0" w:type="dxa"/>
            <w:right w:w="108" w:type="dxa"/>
          </w:tblCellMar>
        </w:tblPrEx>
        <w:trPr>
          <w:trHeight w:val="300" w:hRule="atLeast"/>
        </w:trPr>
        <w:tc>
          <w:tcPr>
            <w:tcW w:w="5827" w:type="dxa"/>
            <w:gridSpan w:val="4"/>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合计</w:t>
            </w:r>
          </w:p>
        </w:tc>
        <w:tc>
          <w:tcPr>
            <w:tcW w:w="1559" w:type="dxa"/>
            <w:tcBorders>
              <w:top w:val="nil"/>
              <w:left w:val="nil"/>
              <w:bottom w:val="single" w:color="000000" w:sz="4" w:space="0"/>
              <w:right w:val="single" w:color="000000" w:sz="4" w:space="0"/>
            </w:tcBorders>
            <w:shd w:val="clear" w:color="000000" w:fill="FFFFFF"/>
            <w:noWrap/>
            <w:vAlign w:val="center"/>
          </w:tcPr>
          <w:p>
            <w:pPr>
              <w:jc w:val="right"/>
              <w:rPr>
                <w:rFonts w:cs="Arial"/>
                <w:b/>
                <w:bCs/>
                <w:sz w:val="20"/>
                <w:szCs w:val="20"/>
              </w:rPr>
            </w:pPr>
            <w:r>
              <w:rPr>
                <w:rFonts w:hint="eastAsia" w:cs="Arial"/>
                <w:b/>
                <w:bCs/>
                <w:sz w:val="20"/>
                <w:szCs w:val="20"/>
              </w:rPr>
              <w:t>2,425.26</w:t>
            </w:r>
          </w:p>
        </w:tc>
        <w:tc>
          <w:tcPr>
            <w:tcW w:w="1134" w:type="dxa"/>
            <w:tcBorders>
              <w:top w:val="nil"/>
              <w:left w:val="nil"/>
              <w:bottom w:val="single" w:color="000000" w:sz="4" w:space="0"/>
              <w:right w:val="single" w:color="000000" w:sz="4" w:space="0"/>
            </w:tcBorders>
            <w:shd w:val="clear" w:color="000000" w:fill="FFFFFF"/>
            <w:noWrap/>
            <w:vAlign w:val="center"/>
          </w:tcPr>
          <w:p>
            <w:pPr>
              <w:jc w:val="right"/>
              <w:rPr>
                <w:rFonts w:cs="Arial"/>
                <w:b/>
                <w:bCs/>
                <w:sz w:val="20"/>
                <w:szCs w:val="20"/>
              </w:rPr>
            </w:pPr>
            <w:r>
              <w:rPr>
                <w:rFonts w:hint="eastAsia" w:cs="Arial"/>
                <w:b/>
                <w:bCs/>
                <w:sz w:val="20"/>
                <w:szCs w:val="20"/>
              </w:rPr>
              <w:t>2,331.27</w:t>
            </w:r>
          </w:p>
        </w:tc>
        <w:tc>
          <w:tcPr>
            <w:tcW w:w="1276" w:type="dxa"/>
            <w:tcBorders>
              <w:top w:val="nil"/>
              <w:left w:val="nil"/>
              <w:bottom w:val="single" w:color="000000" w:sz="4" w:space="0"/>
              <w:right w:val="single" w:color="000000" w:sz="4" w:space="0"/>
            </w:tcBorders>
            <w:shd w:val="clear" w:color="000000" w:fill="FFFFFF"/>
            <w:noWrap/>
            <w:vAlign w:val="center"/>
          </w:tcPr>
          <w:p>
            <w:pPr>
              <w:jc w:val="right"/>
              <w:rPr>
                <w:rFonts w:cs="Arial"/>
                <w:b/>
                <w:bCs/>
                <w:sz w:val="20"/>
                <w:szCs w:val="20"/>
              </w:rPr>
            </w:pPr>
            <w:r>
              <w:rPr>
                <w:rFonts w:hint="eastAsia" w:cs="Arial"/>
                <w:b/>
                <w:bCs/>
                <w:sz w:val="20"/>
                <w:szCs w:val="20"/>
              </w:rPr>
              <w:t>93.99</w:t>
            </w:r>
          </w:p>
        </w:tc>
        <w:tc>
          <w:tcPr>
            <w:tcW w:w="1276" w:type="dxa"/>
            <w:tcBorders>
              <w:top w:val="nil"/>
              <w:left w:val="nil"/>
              <w:bottom w:val="single" w:color="000000" w:sz="4" w:space="0"/>
              <w:right w:val="single" w:color="000000" w:sz="4" w:space="0"/>
            </w:tcBorders>
            <w:shd w:val="clear" w:color="000000" w:fill="FFFFFF"/>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000000" w:fill="FFFFFF"/>
            <w:noWrap/>
            <w:vAlign w:val="center"/>
          </w:tcPr>
          <w:p>
            <w:pPr>
              <w:jc w:val="right"/>
              <w:rPr>
                <w:rFonts w:cs="Arial"/>
                <w:b/>
                <w:bCs/>
                <w:sz w:val="20"/>
                <w:szCs w:val="20"/>
              </w:rPr>
            </w:pPr>
            <w:r>
              <w:rPr>
                <w:rFonts w:hint="eastAsia" w:cs="Arial"/>
                <w:b/>
                <w:bCs/>
                <w:sz w:val="20"/>
                <w:szCs w:val="20"/>
              </w:rPr>
              <w:t>　</w:t>
            </w:r>
          </w:p>
        </w:tc>
        <w:tc>
          <w:tcPr>
            <w:tcW w:w="2023" w:type="dxa"/>
            <w:tcBorders>
              <w:top w:val="nil"/>
              <w:left w:val="nil"/>
              <w:bottom w:val="single" w:color="000000" w:sz="4" w:space="0"/>
              <w:right w:val="single" w:color="000000" w:sz="4" w:space="0"/>
            </w:tcBorders>
            <w:shd w:val="clear" w:color="000000" w:fill="FFFFFF"/>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2357" w:type="dxa"/>
            <w:gridSpan w:val="3"/>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204</w:t>
            </w:r>
          </w:p>
        </w:tc>
        <w:tc>
          <w:tcPr>
            <w:tcW w:w="3470" w:type="dxa"/>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公共安全支出</w:t>
            </w:r>
          </w:p>
        </w:tc>
        <w:tc>
          <w:tcPr>
            <w:tcW w:w="1559"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1,864.19</w:t>
            </w:r>
          </w:p>
        </w:tc>
        <w:tc>
          <w:tcPr>
            <w:tcW w:w="1134"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1,770.20</w:t>
            </w:r>
          </w:p>
        </w:tc>
        <w:tc>
          <w:tcPr>
            <w:tcW w:w="1276"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93.99</w:t>
            </w:r>
          </w:p>
        </w:tc>
        <w:tc>
          <w:tcPr>
            <w:tcW w:w="1276"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　</w:t>
            </w:r>
          </w:p>
        </w:tc>
        <w:tc>
          <w:tcPr>
            <w:tcW w:w="2023"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2357" w:type="dxa"/>
            <w:gridSpan w:val="3"/>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20404</w:t>
            </w:r>
          </w:p>
        </w:tc>
        <w:tc>
          <w:tcPr>
            <w:tcW w:w="3470" w:type="dxa"/>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检察</w:t>
            </w:r>
          </w:p>
        </w:tc>
        <w:tc>
          <w:tcPr>
            <w:tcW w:w="1559"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1,864.19</w:t>
            </w:r>
          </w:p>
        </w:tc>
        <w:tc>
          <w:tcPr>
            <w:tcW w:w="1134"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1,770.20</w:t>
            </w:r>
          </w:p>
        </w:tc>
        <w:tc>
          <w:tcPr>
            <w:tcW w:w="1276"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93.99</w:t>
            </w:r>
          </w:p>
        </w:tc>
        <w:tc>
          <w:tcPr>
            <w:tcW w:w="1276"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　</w:t>
            </w:r>
          </w:p>
        </w:tc>
        <w:tc>
          <w:tcPr>
            <w:tcW w:w="2023"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2357" w:type="dxa"/>
            <w:gridSpan w:val="3"/>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2040401</w:t>
            </w:r>
          </w:p>
        </w:tc>
        <w:tc>
          <w:tcPr>
            <w:tcW w:w="3470" w:type="dxa"/>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行政运行</w:t>
            </w:r>
          </w:p>
        </w:tc>
        <w:tc>
          <w:tcPr>
            <w:tcW w:w="1559"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1,716.95</w:t>
            </w:r>
          </w:p>
        </w:tc>
        <w:tc>
          <w:tcPr>
            <w:tcW w:w="1134"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1,716.95</w:t>
            </w:r>
          </w:p>
        </w:tc>
        <w:tc>
          <w:tcPr>
            <w:tcW w:w="1276"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76"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23"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357" w:type="dxa"/>
            <w:gridSpan w:val="3"/>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2040402</w:t>
            </w:r>
          </w:p>
        </w:tc>
        <w:tc>
          <w:tcPr>
            <w:tcW w:w="3470" w:type="dxa"/>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一般行政管理事务</w:t>
            </w:r>
          </w:p>
        </w:tc>
        <w:tc>
          <w:tcPr>
            <w:tcW w:w="1559"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93.05</w:t>
            </w:r>
          </w:p>
        </w:tc>
        <w:tc>
          <w:tcPr>
            <w:tcW w:w="1134"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76"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93.05</w:t>
            </w:r>
          </w:p>
        </w:tc>
        <w:tc>
          <w:tcPr>
            <w:tcW w:w="1276"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23"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357" w:type="dxa"/>
            <w:gridSpan w:val="3"/>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2040410</w:t>
            </w:r>
          </w:p>
        </w:tc>
        <w:tc>
          <w:tcPr>
            <w:tcW w:w="3470" w:type="dxa"/>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检察监督</w:t>
            </w:r>
          </w:p>
        </w:tc>
        <w:tc>
          <w:tcPr>
            <w:tcW w:w="1559"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54.19</w:t>
            </w:r>
          </w:p>
        </w:tc>
        <w:tc>
          <w:tcPr>
            <w:tcW w:w="1134"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53.25</w:t>
            </w:r>
          </w:p>
        </w:tc>
        <w:tc>
          <w:tcPr>
            <w:tcW w:w="1276"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0.94</w:t>
            </w:r>
          </w:p>
        </w:tc>
        <w:tc>
          <w:tcPr>
            <w:tcW w:w="1276"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23"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357" w:type="dxa"/>
            <w:gridSpan w:val="3"/>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205</w:t>
            </w:r>
          </w:p>
        </w:tc>
        <w:tc>
          <w:tcPr>
            <w:tcW w:w="3470" w:type="dxa"/>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教育支出</w:t>
            </w:r>
          </w:p>
        </w:tc>
        <w:tc>
          <w:tcPr>
            <w:tcW w:w="1559"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1134"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1276"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　</w:t>
            </w:r>
          </w:p>
        </w:tc>
        <w:tc>
          <w:tcPr>
            <w:tcW w:w="1276"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　</w:t>
            </w:r>
          </w:p>
        </w:tc>
        <w:tc>
          <w:tcPr>
            <w:tcW w:w="850"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　</w:t>
            </w:r>
          </w:p>
        </w:tc>
        <w:tc>
          <w:tcPr>
            <w:tcW w:w="2023"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　</w:t>
            </w:r>
          </w:p>
        </w:tc>
      </w:tr>
      <w:tr>
        <w:tblPrEx>
          <w:tblCellMar>
            <w:top w:w="0" w:type="dxa"/>
            <w:left w:w="108" w:type="dxa"/>
            <w:bottom w:w="0" w:type="dxa"/>
            <w:right w:w="108" w:type="dxa"/>
          </w:tblCellMar>
        </w:tblPrEx>
        <w:trPr>
          <w:trHeight w:val="300" w:hRule="atLeast"/>
        </w:trPr>
        <w:tc>
          <w:tcPr>
            <w:tcW w:w="2357" w:type="dxa"/>
            <w:gridSpan w:val="3"/>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20508</w:t>
            </w:r>
          </w:p>
        </w:tc>
        <w:tc>
          <w:tcPr>
            <w:tcW w:w="3470" w:type="dxa"/>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进修及培训</w:t>
            </w:r>
          </w:p>
        </w:tc>
        <w:tc>
          <w:tcPr>
            <w:tcW w:w="1559"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1134"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1276"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　</w:t>
            </w:r>
          </w:p>
        </w:tc>
        <w:tc>
          <w:tcPr>
            <w:tcW w:w="1276"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　</w:t>
            </w:r>
          </w:p>
        </w:tc>
        <w:tc>
          <w:tcPr>
            <w:tcW w:w="850"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　</w:t>
            </w:r>
          </w:p>
        </w:tc>
        <w:tc>
          <w:tcPr>
            <w:tcW w:w="2023"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　</w:t>
            </w:r>
          </w:p>
        </w:tc>
      </w:tr>
      <w:tr>
        <w:tblPrEx>
          <w:tblCellMar>
            <w:top w:w="0" w:type="dxa"/>
            <w:left w:w="108" w:type="dxa"/>
            <w:bottom w:w="0" w:type="dxa"/>
            <w:right w:w="108" w:type="dxa"/>
          </w:tblCellMar>
        </w:tblPrEx>
        <w:trPr>
          <w:trHeight w:val="300" w:hRule="atLeast"/>
        </w:trPr>
        <w:tc>
          <w:tcPr>
            <w:tcW w:w="2357" w:type="dxa"/>
            <w:gridSpan w:val="3"/>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2050803</w:t>
            </w:r>
          </w:p>
        </w:tc>
        <w:tc>
          <w:tcPr>
            <w:tcW w:w="3470" w:type="dxa"/>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培训支出</w:t>
            </w:r>
          </w:p>
        </w:tc>
        <w:tc>
          <w:tcPr>
            <w:tcW w:w="1559"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134"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276"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76"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850"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23"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357" w:type="dxa"/>
            <w:gridSpan w:val="3"/>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208</w:t>
            </w:r>
          </w:p>
        </w:tc>
        <w:tc>
          <w:tcPr>
            <w:tcW w:w="3470" w:type="dxa"/>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社会保障和就业支出</w:t>
            </w:r>
          </w:p>
        </w:tc>
        <w:tc>
          <w:tcPr>
            <w:tcW w:w="1559"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296.02</w:t>
            </w:r>
          </w:p>
        </w:tc>
        <w:tc>
          <w:tcPr>
            <w:tcW w:w="1134"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296.02</w:t>
            </w:r>
          </w:p>
        </w:tc>
        <w:tc>
          <w:tcPr>
            <w:tcW w:w="1276"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　</w:t>
            </w:r>
          </w:p>
        </w:tc>
        <w:tc>
          <w:tcPr>
            <w:tcW w:w="1276"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　</w:t>
            </w:r>
          </w:p>
        </w:tc>
        <w:tc>
          <w:tcPr>
            <w:tcW w:w="2023"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2357" w:type="dxa"/>
            <w:gridSpan w:val="3"/>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20805</w:t>
            </w:r>
          </w:p>
        </w:tc>
        <w:tc>
          <w:tcPr>
            <w:tcW w:w="3470" w:type="dxa"/>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行政事业单位养老支出</w:t>
            </w:r>
          </w:p>
        </w:tc>
        <w:tc>
          <w:tcPr>
            <w:tcW w:w="1559"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286.21</w:t>
            </w:r>
          </w:p>
        </w:tc>
        <w:tc>
          <w:tcPr>
            <w:tcW w:w="1134"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286.21</w:t>
            </w:r>
          </w:p>
        </w:tc>
        <w:tc>
          <w:tcPr>
            <w:tcW w:w="1276"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　</w:t>
            </w:r>
          </w:p>
        </w:tc>
        <w:tc>
          <w:tcPr>
            <w:tcW w:w="1276"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　</w:t>
            </w:r>
          </w:p>
        </w:tc>
        <w:tc>
          <w:tcPr>
            <w:tcW w:w="2023"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2357" w:type="dxa"/>
            <w:gridSpan w:val="3"/>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2080501</w:t>
            </w:r>
          </w:p>
        </w:tc>
        <w:tc>
          <w:tcPr>
            <w:tcW w:w="3470" w:type="dxa"/>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行政单位离退休</w:t>
            </w:r>
          </w:p>
        </w:tc>
        <w:tc>
          <w:tcPr>
            <w:tcW w:w="1559"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209.21</w:t>
            </w:r>
          </w:p>
        </w:tc>
        <w:tc>
          <w:tcPr>
            <w:tcW w:w="1134"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209.21</w:t>
            </w:r>
          </w:p>
        </w:tc>
        <w:tc>
          <w:tcPr>
            <w:tcW w:w="1276"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76"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23"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357" w:type="dxa"/>
            <w:gridSpan w:val="3"/>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2080505</w:t>
            </w:r>
          </w:p>
        </w:tc>
        <w:tc>
          <w:tcPr>
            <w:tcW w:w="3470" w:type="dxa"/>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机关事业单位基本养老保险缴费支出</w:t>
            </w:r>
          </w:p>
        </w:tc>
        <w:tc>
          <w:tcPr>
            <w:tcW w:w="1559"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77.00</w:t>
            </w:r>
          </w:p>
        </w:tc>
        <w:tc>
          <w:tcPr>
            <w:tcW w:w="1134"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77.00</w:t>
            </w:r>
          </w:p>
        </w:tc>
        <w:tc>
          <w:tcPr>
            <w:tcW w:w="1276"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76"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23"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357" w:type="dxa"/>
            <w:gridSpan w:val="3"/>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20899</w:t>
            </w:r>
          </w:p>
        </w:tc>
        <w:tc>
          <w:tcPr>
            <w:tcW w:w="3470" w:type="dxa"/>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其他社会保障和就业支出</w:t>
            </w:r>
          </w:p>
        </w:tc>
        <w:tc>
          <w:tcPr>
            <w:tcW w:w="1559"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9.81</w:t>
            </w:r>
          </w:p>
        </w:tc>
        <w:tc>
          <w:tcPr>
            <w:tcW w:w="1134"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9.81</w:t>
            </w:r>
          </w:p>
        </w:tc>
        <w:tc>
          <w:tcPr>
            <w:tcW w:w="1276"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　</w:t>
            </w:r>
          </w:p>
        </w:tc>
        <w:tc>
          <w:tcPr>
            <w:tcW w:w="1276"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　</w:t>
            </w:r>
          </w:p>
        </w:tc>
        <w:tc>
          <w:tcPr>
            <w:tcW w:w="2023"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2357" w:type="dxa"/>
            <w:gridSpan w:val="3"/>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2089901</w:t>
            </w:r>
          </w:p>
        </w:tc>
        <w:tc>
          <w:tcPr>
            <w:tcW w:w="3470" w:type="dxa"/>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其他社会保障和就业支出</w:t>
            </w:r>
          </w:p>
        </w:tc>
        <w:tc>
          <w:tcPr>
            <w:tcW w:w="1559"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9.81</w:t>
            </w:r>
          </w:p>
        </w:tc>
        <w:tc>
          <w:tcPr>
            <w:tcW w:w="1134"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9.81</w:t>
            </w:r>
          </w:p>
        </w:tc>
        <w:tc>
          <w:tcPr>
            <w:tcW w:w="1276"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76"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23"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357" w:type="dxa"/>
            <w:gridSpan w:val="3"/>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210</w:t>
            </w:r>
          </w:p>
        </w:tc>
        <w:tc>
          <w:tcPr>
            <w:tcW w:w="3470" w:type="dxa"/>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卫生健康支出</w:t>
            </w:r>
          </w:p>
        </w:tc>
        <w:tc>
          <w:tcPr>
            <w:tcW w:w="1559"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80.81</w:t>
            </w:r>
          </w:p>
        </w:tc>
        <w:tc>
          <w:tcPr>
            <w:tcW w:w="1134"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80.81</w:t>
            </w:r>
          </w:p>
        </w:tc>
        <w:tc>
          <w:tcPr>
            <w:tcW w:w="1276"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　</w:t>
            </w:r>
          </w:p>
        </w:tc>
        <w:tc>
          <w:tcPr>
            <w:tcW w:w="1276"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　</w:t>
            </w:r>
          </w:p>
        </w:tc>
        <w:tc>
          <w:tcPr>
            <w:tcW w:w="2023"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2357" w:type="dxa"/>
            <w:gridSpan w:val="3"/>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21011</w:t>
            </w:r>
          </w:p>
        </w:tc>
        <w:tc>
          <w:tcPr>
            <w:tcW w:w="3470" w:type="dxa"/>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行政事业单位医疗</w:t>
            </w:r>
          </w:p>
        </w:tc>
        <w:tc>
          <w:tcPr>
            <w:tcW w:w="1559"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80.81</w:t>
            </w:r>
          </w:p>
        </w:tc>
        <w:tc>
          <w:tcPr>
            <w:tcW w:w="1134"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80.81</w:t>
            </w:r>
          </w:p>
        </w:tc>
        <w:tc>
          <w:tcPr>
            <w:tcW w:w="1276"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　</w:t>
            </w:r>
          </w:p>
        </w:tc>
        <w:tc>
          <w:tcPr>
            <w:tcW w:w="1276"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　</w:t>
            </w:r>
          </w:p>
        </w:tc>
        <w:tc>
          <w:tcPr>
            <w:tcW w:w="2023"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2357" w:type="dxa"/>
            <w:gridSpan w:val="3"/>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2101101</w:t>
            </w:r>
          </w:p>
        </w:tc>
        <w:tc>
          <w:tcPr>
            <w:tcW w:w="3470" w:type="dxa"/>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行政单位医疗</w:t>
            </w:r>
          </w:p>
        </w:tc>
        <w:tc>
          <w:tcPr>
            <w:tcW w:w="1559"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80.81</w:t>
            </w:r>
          </w:p>
        </w:tc>
        <w:tc>
          <w:tcPr>
            <w:tcW w:w="1134"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80.81</w:t>
            </w:r>
          </w:p>
        </w:tc>
        <w:tc>
          <w:tcPr>
            <w:tcW w:w="1276"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76"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23"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2357" w:type="dxa"/>
            <w:gridSpan w:val="3"/>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221</w:t>
            </w:r>
          </w:p>
        </w:tc>
        <w:tc>
          <w:tcPr>
            <w:tcW w:w="3470" w:type="dxa"/>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住房保障支出</w:t>
            </w:r>
          </w:p>
        </w:tc>
        <w:tc>
          <w:tcPr>
            <w:tcW w:w="1559"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184.24</w:t>
            </w:r>
          </w:p>
        </w:tc>
        <w:tc>
          <w:tcPr>
            <w:tcW w:w="1134"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184.24</w:t>
            </w:r>
          </w:p>
        </w:tc>
        <w:tc>
          <w:tcPr>
            <w:tcW w:w="1276"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　</w:t>
            </w:r>
          </w:p>
        </w:tc>
        <w:tc>
          <w:tcPr>
            <w:tcW w:w="1276"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　</w:t>
            </w:r>
          </w:p>
        </w:tc>
        <w:tc>
          <w:tcPr>
            <w:tcW w:w="2023"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2357" w:type="dxa"/>
            <w:gridSpan w:val="3"/>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22102</w:t>
            </w:r>
          </w:p>
        </w:tc>
        <w:tc>
          <w:tcPr>
            <w:tcW w:w="3470" w:type="dxa"/>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住房改革支出</w:t>
            </w:r>
          </w:p>
        </w:tc>
        <w:tc>
          <w:tcPr>
            <w:tcW w:w="1559"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184.24</w:t>
            </w:r>
          </w:p>
        </w:tc>
        <w:tc>
          <w:tcPr>
            <w:tcW w:w="1134"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184.24</w:t>
            </w:r>
          </w:p>
        </w:tc>
        <w:tc>
          <w:tcPr>
            <w:tcW w:w="1276"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　</w:t>
            </w:r>
          </w:p>
        </w:tc>
        <w:tc>
          <w:tcPr>
            <w:tcW w:w="1276"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c>
          <w:tcPr>
            <w:tcW w:w="850"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　</w:t>
            </w:r>
          </w:p>
        </w:tc>
        <w:tc>
          <w:tcPr>
            <w:tcW w:w="2023" w:type="dxa"/>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0.00</w:t>
            </w:r>
          </w:p>
        </w:tc>
      </w:tr>
      <w:tr>
        <w:tblPrEx>
          <w:tblCellMar>
            <w:top w:w="0" w:type="dxa"/>
            <w:left w:w="108" w:type="dxa"/>
            <w:bottom w:w="0" w:type="dxa"/>
            <w:right w:w="108" w:type="dxa"/>
          </w:tblCellMar>
        </w:tblPrEx>
        <w:trPr>
          <w:trHeight w:val="300" w:hRule="atLeast"/>
        </w:trPr>
        <w:tc>
          <w:tcPr>
            <w:tcW w:w="2357" w:type="dxa"/>
            <w:gridSpan w:val="3"/>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2210201</w:t>
            </w:r>
          </w:p>
        </w:tc>
        <w:tc>
          <w:tcPr>
            <w:tcW w:w="3470" w:type="dxa"/>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住房公积金</w:t>
            </w:r>
          </w:p>
        </w:tc>
        <w:tc>
          <w:tcPr>
            <w:tcW w:w="1559"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184.24</w:t>
            </w:r>
          </w:p>
        </w:tc>
        <w:tc>
          <w:tcPr>
            <w:tcW w:w="1134"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184.24</w:t>
            </w:r>
          </w:p>
        </w:tc>
        <w:tc>
          <w:tcPr>
            <w:tcW w:w="1276"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76"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850"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23"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3945" w:type="dxa"/>
            <w:gridSpan w:val="10"/>
            <w:tcBorders>
              <w:top w:val="nil"/>
              <w:left w:val="nil"/>
              <w:bottom w:val="nil"/>
              <w:right w:val="nil"/>
            </w:tcBorders>
            <w:shd w:val="clear" w:color="000000" w:fill="FFFFFF"/>
            <w:noWrap/>
            <w:vAlign w:val="center"/>
          </w:tcPr>
          <w:p>
            <w:pPr>
              <w:rPr>
                <w:rFonts w:cs="Arial"/>
                <w:sz w:val="20"/>
                <w:szCs w:val="20"/>
              </w:rPr>
            </w:pPr>
            <w:r>
              <w:rPr>
                <w:rFonts w:hint="eastAsia" w:cs="Arial"/>
                <w:sz w:val="20"/>
                <w:szCs w:val="20"/>
              </w:rPr>
              <w:t>注：本表反映部门本年度各项支出情况。</w:t>
            </w:r>
          </w:p>
        </w:tc>
      </w:tr>
    </w:tbl>
    <w:p>
      <w:pPr>
        <w:pStyle w:val="13"/>
        <w:spacing w:before="0" w:beforeAutospacing="0"/>
        <w:outlineLvl w:val="1"/>
        <w:rPr>
          <w:shd w:val="clear" w:color="auto" w:fill="FFFFFF"/>
        </w:rPr>
      </w:pPr>
    </w:p>
    <w:p>
      <w:pPr>
        <w:pStyle w:val="13"/>
        <w:spacing w:before="0" w:beforeAutospacing="0"/>
        <w:outlineLvl w:val="1"/>
        <w:rPr>
          <w:shd w:val="clear" w:color="auto" w:fill="FFFFFF"/>
        </w:rPr>
      </w:pPr>
    </w:p>
    <w:p>
      <w:pPr>
        <w:pStyle w:val="13"/>
        <w:spacing w:before="0" w:beforeAutospacing="0"/>
        <w:outlineLvl w:val="1"/>
        <w:rPr>
          <w:shd w:val="clear" w:color="auto" w:fill="FFFFFF"/>
        </w:rPr>
      </w:pPr>
    </w:p>
    <w:p>
      <w:pPr>
        <w:pStyle w:val="13"/>
        <w:spacing w:before="0" w:beforeAutospacing="0"/>
        <w:outlineLvl w:val="1"/>
        <w:rPr>
          <w:shd w:val="clear" w:color="auto" w:fill="FFFFFF"/>
        </w:rPr>
      </w:pPr>
    </w:p>
    <w:p>
      <w:pPr>
        <w:pStyle w:val="13"/>
        <w:spacing w:before="0" w:beforeAutospacing="0"/>
        <w:outlineLvl w:val="1"/>
        <w:rPr>
          <w:shd w:val="clear" w:color="auto" w:fill="FFFFFF"/>
        </w:rPr>
      </w:pPr>
    </w:p>
    <w:p>
      <w:pPr>
        <w:pStyle w:val="13"/>
        <w:spacing w:before="0" w:beforeAutospacing="0"/>
        <w:outlineLvl w:val="1"/>
        <w:rPr>
          <w:shd w:val="clear" w:color="auto" w:fill="FFFFFF"/>
        </w:rPr>
      </w:pPr>
    </w:p>
    <w:p>
      <w:pPr>
        <w:pStyle w:val="13"/>
        <w:spacing w:before="0" w:beforeAutospacing="0"/>
        <w:outlineLvl w:val="1"/>
        <w:rPr>
          <w:shd w:val="clear" w:color="auto" w:fill="FFFFFF"/>
        </w:rPr>
      </w:pPr>
    </w:p>
    <w:p>
      <w:pPr>
        <w:pStyle w:val="13"/>
        <w:adjustRightInd w:val="0"/>
        <w:snapToGrid w:val="0"/>
        <w:spacing w:before="0" w:beforeAutospacing="0" w:after="0" w:afterAutospacing="0" w:line="400" w:lineRule="exact"/>
        <w:outlineLvl w:val="1"/>
        <w:rPr>
          <w:rFonts w:ascii="楷体_GB2312" w:hAnsi="楷体" w:eastAsia="楷体_GB2312" w:cs="楷体"/>
          <w:sz w:val="32"/>
          <w:szCs w:val="32"/>
          <w:shd w:val="clear" w:color="auto" w:fill="FFFFFF"/>
        </w:rPr>
      </w:pPr>
      <w:bookmarkStart w:id="9" w:name="_Toc20129"/>
      <w:r>
        <w:rPr>
          <w:rFonts w:hint="eastAsia" w:ascii="楷体_GB2312" w:hAnsi="楷体" w:eastAsia="楷体_GB2312" w:cs="楷体"/>
          <w:sz w:val="32"/>
          <w:szCs w:val="32"/>
          <w:shd w:val="clear" w:color="auto" w:fill="FFFFFF"/>
        </w:rPr>
        <w:t>四、财政拨款收入支出决算总表</w:t>
      </w:r>
      <w:bookmarkEnd w:id="9"/>
    </w:p>
    <w:p>
      <w:pPr>
        <w:pStyle w:val="13"/>
        <w:spacing w:before="0" w:beforeAutospacing="0"/>
        <w:outlineLvl w:val="1"/>
        <w:rPr>
          <w:shd w:val="clear" w:color="auto" w:fill="FFFFFF"/>
        </w:rPr>
      </w:pPr>
    </w:p>
    <w:tbl>
      <w:tblPr>
        <w:tblStyle w:val="14"/>
        <w:tblW w:w="13907" w:type="dxa"/>
        <w:tblInd w:w="93" w:type="dxa"/>
        <w:tblLayout w:type="fixed"/>
        <w:tblCellMar>
          <w:top w:w="0" w:type="dxa"/>
          <w:left w:w="108" w:type="dxa"/>
          <w:bottom w:w="0" w:type="dxa"/>
          <w:right w:w="108" w:type="dxa"/>
        </w:tblCellMar>
      </w:tblPr>
      <w:tblGrid>
        <w:gridCol w:w="2283"/>
        <w:gridCol w:w="709"/>
        <w:gridCol w:w="378"/>
        <w:gridCol w:w="818"/>
        <w:gridCol w:w="80"/>
        <w:gridCol w:w="843"/>
        <w:gridCol w:w="2243"/>
        <w:gridCol w:w="236"/>
        <w:gridCol w:w="331"/>
        <w:gridCol w:w="94"/>
        <w:gridCol w:w="960"/>
        <w:gridCol w:w="236"/>
        <w:gridCol w:w="1040"/>
        <w:gridCol w:w="236"/>
        <w:gridCol w:w="1119"/>
        <w:gridCol w:w="55"/>
        <w:gridCol w:w="181"/>
        <w:gridCol w:w="1755"/>
        <w:gridCol w:w="310"/>
      </w:tblGrid>
      <w:tr>
        <w:tblPrEx>
          <w:tblCellMar>
            <w:top w:w="0" w:type="dxa"/>
            <w:left w:w="108" w:type="dxa"/>
            <w:bottom w:w="0" w:type="dxa"/>
            <w:right w:w="108" w:type="dxa"/>
          </w:tblCellMar>
        </w:tblPrEx>
        <w:trPr>
          <w:trHeight w:val="300" w:hRule="atLeast"/>
        </w:trPr>
        <w:tc>
          <w:tcPr>
            <w:tcW w:w="3370" w:type="dxa"/>
            <w:gridSpan w:val="3"/>
            <w:tcBorders>
              <w:top w:val="nil"/>
              <w:left w:val="nil"/>
              <w:bottom w:val="nil"/>
              <w:right w:val="nil"/>
            </w:tcBorders>
            <w:shd w:val="clear" w:color="auto" w:fill="auto"/>
            <w:noWrap/>
            <w:vAlign w:val="bottom"/>
          </w:tcPr>
          <w:p>
            <w:pPr>
              <w:rPr>
                <w:rFonts w:ascii="Arial" w:hAnsi="Arial" w:cs="Arial"/>
                <w:sz w:val="20"/>
                <w:szCs w:val="20"/>
              </w:rPr>
            </w:pPr>
          </w:p>
        </w:tc>
        <w:tc>
          <w:tcPr>
            <w:tcW w:w="898" w:type="dxa"/>
            <w:gridSpan w:val="2"/>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843"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2243"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567" w:type="dxa"/>
            <w:gridSpan w:val="2"/>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054" w:type="dxa"/>
            <w:gridSpan w:val="2"/>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276" w:type="dxa"/>
            <w:gridSpan w:val="2"/>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410" w:type="dxa"/>
            <w:gridSpan w:val="3"/>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2246" w:type="dxa"/>
            <w:gridSpan w:val="3"/>
            <w:tcBorders>
              <w:top w:val="nil"/>
              <w:left w:val="nil"/>
              <w:bottom w:val="nil"/>
              <w:right w:val="single" w:color="808080" w:sz="4" w:space="0"/>
            </w:tcBorders>
            <w:shd w:val="clear" w:color="000000" w:fill="FFFFFF"/>
            <w:noWrap/>
            <w:vAlign w:val="center"/>
          </w:tcPr>
          <w:p>
            <w:pPr>
              <w:jc w:val="right"/>
              <w:rPr>
                <w:rFonts w:cs="Arial"/>
                <w:color w:val="000000"/>
                <w:sz w:val="22"/>
                <w:szCs w:val="22"/>
              </w:rPr>
            </w:pPr>
            <w:r>
              <w:rPr>
                <w:rFonts w:hint="eastAsia" w:cs="Arial"/>
                <w:color w:val="000000"/>
                <w:sz w:val="22"/>
                <w:szCs w:val="22"/>
              </w:rPr>
              <w:t>公开04表</w:t>
            </w:r>
          </w:p>
        </w:tc>
      </w:tr>
      <w:tr>
        <w:tblPrEx>
          <w:tblCellMar>
            <w:top w:w="0" w:type="dxa"/>
            <w:left w:w="108" w:type="dxa"/>
            <w:bottom w:w="0" w:type="dxa"/>
            <w:right w:w="108" w:type="dxa"/>
          </w:tblCellMar>
        </w:tblPrEx>
        <w:trPr>
          <w:trHeight w:val="300" w:hRule="atLeast"/>
        </w:trPr>
        <w:tc>
          <w:tcPr>
            <w:tcW w:w="3370" w:type="dxa"/>
            <w:gridSpan w:val="3"/>
            <w:tcBorders>
              <w:top w:val="nil"/>
              <w:left w:val="nil"/>
              <w:bottom w:val="single" w:color="808080" w:sz="4" w:space="0"/>
              <w:right w:val="nil"/>
            </w:tcBorders>
            <w:shd w:val="clear" w:color="000000" w:fill="FFFFFF"/>
            <w:noWrap/>
            <w:vAlign w:val="center"/>
          </w:tcPr>
          <w:p>
            <w:pPr>
              <w:rPr>
                <w:rFonts w:cs="Arial"/>
                <w:color w:val="000000"/>
                <w:sz w:val="22"/>
                <w:szCs w:val="22"/>
              </w:rPr>
            </w:pPr>
            <w:r>
              <w:rPr>
                <w:rFonts w:hint="eastAsia" w:cs="Arial"/>
                <w:color w:val="000000"/>
                <w:sz w:val="22"/>
                <w:szCs w:val="22"/>
              </w:rPr>
              <w:t>部门：常德市武陵区人民检察院</w:t>
            </w:r>
          </w:p>
        </w:tc>
        <w:tc>
          <w:tcPr>
            <w:tcW w:w="898" w:type="dxa"/>
            <w:gridSpan w:val="2"/>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843" w:type="dxa"/>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2810" w:type="dxa"/>
            <w:gridSpan w:val="3"/>
            <w:tcBorders>
              <w:top w:val="nil"/>
              <w:left w:val="nil"/>
              <w:bottom w:val="single" w:color="808080" w:sz="4" w:space="0"/>
              <w:right w:val="nil"/>
            </w:tcBorders>
            <w:shd w:val="clear" w:color="000000" w:fill="FFFFFF"/>
            <w:noWrap/>
            <w:vAlign w:val="bottom"/>
          </w:tcPr>
          <w:p>
            <w:pPr>
              <w:jc w:val="center"/>
              <w:rPr>
                <w:rFonts w:cs="Arial"/>
                <w:sz w:val="18"/>
                <w:szCs w:val="18"/>
              </w:rPr>
            </w:pPr>
          </w:p>
          <w:p>
            <w:pPr>
              <w:jc w:val="center"/>
              <w:rPr>
                <w:rFonts w:cs="Arial"/>
                <w:color w:val="000000"/>
                <w:sz w:val="22"/>
                <w:szCs w:val="22"/>
              </w:rPr>
            </w:pPr>
            <w:r>
              <w:rPr>
                <w:rFonts w:hint="eastAsia" w:cs="Arial"/>
                <w:color w:val="000000"/>
                <w:sz w:val="22"/>
                <w:szCs w:val="22"/>
              </w:rPr>
              <w:t>2020年度</w:t>
            </w:r>
          </w:p>
        </w:tc>
        <w:tc>
          <w:tcPr>
            <w:tcW w:w="1054" w:type="dxa"/>
            <w:gridSpan w:val="2"/>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1276" w:type="dxa"/>
            <w:gridSpan w:val="2"/>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1410" w:type="dxa"/>
            <w:gridSpan w:val="3"/>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2246" w:type="dxa"/>
            <w:gridSpan w:val="3"/>
            <w:tcBorders>
              <w:top w:val="nil"/>
              <w:left w:val="nil"/>
              <w:bottom w:val="single" w:color="808080" w:sz="4" w:space="0"/>
              <w:right w:val="single" w:color="808080" w:sz="4" w:space="0"/>
            </w:tcBorders>
            <w:shd w:val="clear" w:color="000000" w:fill="FFFFFF"/>
            <w:noWrap/>
            <w:vAlign w:val="center"/>
          </w:tcPr>
          <w:p>
            <w:pPr>
              <w:jc w:val="right"/>
              <w:rPr>
                <w:rFonts w:cs="Arial"/>
                <w:color w:val="000000"/>
                <w:sz w:val="22"/>
                <w:szCs w:val="22"/>
              </w:rPr>
            </w:pPr>
            <w:r>
              <w:rPr>
                <w:rFonts w:hint="eastAsia" w:cs="Arial"/>
                <w:color w:val="000000"/>
                <w:sz w:val="22"/>
                <w:szCs w:val="22"/>
              </w:rPr>
              <w:t>金额单位：万元</w:t>
            </w:r>
          </w:p>
        </w:tc>
      </w:tr>
      <w:tr>
        <w:tblPrEx>
          <w:tblCellMar>
            <w:top w:w="0" w:type="dxa"/>
            <w:left w:w="108" w:type="dxa"/>
            <w:bottom w:w="0" w:type="dxa"/>
            <w:right w:w="108" w:type="dxa"/>
          </w:tblCellMar>
        </w:tblPrEx>
        <w:trPr>
          <w:trHeight w:val="300" w:hRule="atLeast"/>
        </w:trPr>
        <w:tc>
          <w:tcPr>
            <w:tcW w:w="5111" w:type="dxa"/>
            <w:gridSpan w:val="6"/>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收     入</w:t>
            </w:r>
          </w:p>
        </w:tc>
        <w:tc>
          <w:tcPr>
            <w:tcW w:w="8796" w:type="dxa"/>
            <w:gridSpan w:val="13"/>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支     出</w:t>
            </w:r>
          </w:p>
        </w:tc>
      </w:tr>
      <w:tr>
        <w:tblPrEx>
          <w:tblCellMar>
            <w:top w:w="0" w:type="dxa"/>
            <w:left w:w="108" w:type="dxa"/>
            <w:bottom w:w="0" w:type="dxa"/>
            <w:right w:w="108" w:type="dxa"/>
          </w:tblCellMar>
        </w:tblPrEx>
        <w:trPr>
          <w:trHeight w:val="285" w:hRule="atLeast"/>
        </w:trPr>
        <w:tc>
          <w:tcPr>
            <w:tcW w:w="2283" w:type="dxa"/>
            <w:vMerge w:val="restart"/>
            <w:tcBorders>
              <w:top w:val="nil"/>
              <w:left w:val="single" w:color="000000" w:sz="4" w:space="0"/>
              <w:bottom w:val="single" w:color="000000" w:sz="4" w:space="0"/>
              <w:right w:val="single" w:color="000000" w:sz="4" w:space="0"/>
            </w:tcBorders>
            <w:shd w:val="clear" w:color="000000" w:fill="C0C0C0"/>
            <w:vAlign w:val="center"/>
          </w:tcPr>
          <w:p>
            <w:pPr>
              <w:rPr>
                <w:rFonts w:cs="Arial"/>
                <w:sz w:val="20"/>
                <w:szCs w:val="20"/>
              </w:rPr>
            </w:pPr>
            <w:r>
              <w:rPr>
                <w:rFonts w:hint="eastAsia" w:cs="Arial"/>
                <w:sz w:val="20"/>
                <w:szCs w:val="20"/>
              </w:rPr>
              <w:t>项目</w:t>
            </w:r>
          </w:p>
        </w:tc>
        <w:tc>
          <w:tcPr>
            <w:tcW w:w="709" w:type="dxa"/>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行次</w:t>
            </w:r>
          </w:p>
        </w:tc>
        <w:tc>
          <w:tcPr>
            <w:tcW w:w="1196"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金额</w:t>
            </w:r>
          </w:p>
        </w:tc>
        <w:tc>
          <w:tcPr>
            <w:tcW w:w="3402" w:type="dxa"/>
            <w:gridSpan w:val="4"/>
            <w:vMerge w:val="restart"/>
            <w:tcBorders>
              <w:top w:val="nil"/>
              <w:left w:val="nil"/>
              <w:bottom w:val="single" w:color="000000" w:sz="4" w:space="0"/>
              <w:right w:val="single" w:color="000000" w:sz="4" w:space="0"/>
            </w:tcBorders>
            <w:shd w:val="clear" w:color="000000" w:fill="C0C0C0"/>
            <w:vAlign w:val="bottom"/>
          </w:tcPr>
          <w:p>
            <w:pPr>
              <w:rPr>
                <w:rFonts w:cs="Arial"/>
                <w:sz w:val="20"/>
                <w:szCs w:val="20"/>
              </w:rPr>
            </w:pPr>
            <w:r>
              <w:rPr>
                <w:rFonts w:hint="eastAsia" w:cs="Arial"/>
                <w:sz w:val="20"/>
                <w:szCs w:val="20"/>
              </w:rPr>
              <w:t>项目</w:t>
            </w:r>
          </w:p>
        </w:tc>
        <w:tc>
          <w:tcPr>
            <w:tcW w:w="425"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行次</w:t>
            </w:r>
          </w:p>
        </w:tc>
        <w:tc>
          <w:tcPr>
            <w:tcW w:w="1196" w:type="dxa"/>
            <w:gridSpan w:val="2"/>
            <w:vMerge w:val="restar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合计</w:t>
            </w:r>
          </w:p>
        </w:tc>
        <w:tc>
          <w:tcPr>
            <w:tcW w:w="1276"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一般公共预算财政拨款</w:t>
            </w:r>
          </w:p>
        </w:tc>
        <w:tc>
          <w:tcPr>
            <w:tcW w:w="1355" w:type="dxa"/>
            <w:gridSpan w:val="3"/>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政府性基金预算财政拨款</w:t>
            </w:r>
          </w:p>
        </w:tc>
        <w:tc>
          <w:tcPr>
            <w:tcW w:w="2065"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国有资本经营预算财政拨款</w:t>
            </w:r>
          </w:p>
        </w:tc>
      </w:tr>
      <w:tr>
        <w:tblPrEx>
          <w:tblCellMar>
            <w:top w:w="0" w:type="dxa"/>
            <w:left w:w="108" w:type="dxa"/>
            <w:bottom w:w="0" w:type="dxa"/>
            <w:right w:w="108" w:type="dxa"/>
          </w:tblCellMar>
        </w:tblPrEx>
        <w:trPr>
          <w:trHeight w:val="600" w:hRule="atLeast"/>
        </w:trPr>
        <w:tc>
          <w:tcPr>
            <w:tcW w:w="2283" w:type="dxa"/>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709"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196"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3402" w:type="dxa"/>
            <w:gridSpan w:val="4"/>
            <w:vMerge w:val="continue"/>
            <w:tcBorders>
              <w:top w:val="nil"/>
              <w:left w:val="nil"/>
              <w:bottom w:val="single" w:color="000000" w:sz="4" w:space="0"/>
              <w:right w:val="single" w:color="000000" w:sz="4" w:space="0"/>
            </w:tcBorders>
            <w:vAlign w:val="center"/>
          </w:tcPr>
          <w:p>
            <w:pPr>
              <w:rPr>
                <w:rFonts w:cs="Arial"/>
                <w:sz w:val="20"/>
                <w:szCs w:val="20"/>
              </w:rPr>
            </w:pPr>
          </w:p>
        </w:tc>
        <w:tc>
          <w:tcPr>
            <w:tcW w:w="425"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196"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276"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355" w:type="dxa"/>
            <w:gridSpan w:val="3"/>
            <w:vMerge w:val="continue"/>
            <w:tcBorders>
              <w:top w:val="nil"/>
              <w:left w:val="nil"/>
              <w:bottom w:val="single" w:color="000000" w:sz="4" w:space="0"/>
              <w:right w:val="single" w:color="000000" w:sz="4" w:space="0"/>
            </w:tcBorders>
            <w:vAlign w:val="center"/>
          </w:tcPr>
          <w:p>
            <w:pPr>
              <w:rPr>
                <w:rFonts w:cs="Arial"/>
                <w:sz w:val="20"/>
                <w:szCs w:val="20"/>
              </w:rPr>
            </w:pPr>
          </w:p>
        </w:tc>
        <w:tc>
          <w:tcPr>
            <w:tcW w:w="2065"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栏次</w:t>
            </w:r>
          </w:p>
        </w:tc>
        <w:tc>
          <w:tcPr>
            <w:tcW w:w="709"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　</w:t>
            </w:r>
          </w:p>
        </w:tc>
        <w:tc>
          <w:tcPr>
            <w:tcW w:w="1196"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w:t>
            </w:r>
          </w:p>
        </w:tc>
        <w:tc>
          <w:tcPr>
            <w:tcW w:w="3402" w:type="dxa"/>
            <w:gridSpan w:val="4"/>
            <w:tcBorders>
              <w:top w:val="nil"/>
              <w:left w:val="nil"/>
              <w:bottom w:val="single" w:color="000000" w:sz="4" w:space="0"/>
              <w:right w:val="single" w:color="000000" w:sz="4" w:space="0"/>
            </w:tcBorders>
            <w:shd w:val="clear" w:color="000000" w:fill="C0C0C0"/>
            <w:noWrap/>
            <w:vAlign w:val="bottom"/>
          </w:tcPr>
          <w:p>
            <w:pPr>
              <w:rPr>
                <w:rFonts w:cs="Arial"/>
                <w:sz w:val="20"/>
                <w:szCs w:val="20"/>
              </w:rPr>
            </w:pPr>
            <w:r>
              <w:rPr>
                <w:rFonts w:hint="eastAsia" w:cs="Arial"/>
                <w:sz w:val="20"/>
                <w:szCs w:val="20"/>
              </w:rPr>
              <w:t>栏次</w:t>
            </w:r>
          </w:p>
        </w:tc>
        <w:tc>
          <w:tcPr>
            <w:tcW w:w="42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　</w:t>
            </w:r>
          </w:p>
        </w:tc>
        <w:tc>
          <w:tcPr>
            <w:tcW w:w="1196"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w:t>
            </w:r>
          </w:p>
        </w:tc>
        <w:tc>
          <w:tcPr>
            <w:tcW w:w="1276"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w:t>
            </w:r>
          </w:p>
        </w:tc>
        <w:tc>
          <w:tcPr>
            <w:tcW w:w="1355" w:type="dxa"/>
            <w:gridSpan w:val="3"/>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4</w:t>
            </w:r>
          </w:p>
        </w:tc>
        <w:tc>
          <w:tcPr>
            <w:tcW w:w="206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5</w:t>
            </w:r>
          </w:p>
        </w:tc>
      </w:tr>
      <w:tr>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一、一般公共预算财政拨款</w:t>
            </w:r>
          </w:p>
        </w:tc>
        <w:tc>
          <w:tcPr>
            <w:tcW w:w="709"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1,944.70</w:t>
            </w:r>
          </w:p>
        </w:tc>
        <w:tc>
          <w:tcPr>
            <w:tcW w:w="3402" w:type="dxa"/>
            <w:gridSpan w:val="4"/>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一、一般公共服务支出</w:t>
            </w:r>
          </w:p>
        </w:tc>
        <w:tc>
          <w:tcPr>
            <w:tcW w:w="42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33</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7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355"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6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二、政府性基金预算财政拨款</w:t>
            </w:r>
          </w:p>
        </w:tc>
        <w:tc>
          <w:tcPr>
            <w:tcW w:w="709"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402" w:type="dxa"/>
            <w:gridSpan w:val="4"/>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二、外交支出</w:t>
            </w:r>
          </w:p>
        </w:tc>
        <w:tc>
          <w:tcPr>
            <w:tcW w:w="42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34</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7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355"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6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三、国有资本经营财政拨款</w:t>
            </w:r>
          </w:p>
        </w:tc>
        <w:tc>
          <w:tcPr>
            <w:tcW w:w="709"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402" w:type="dxa"/>
            <w:gridSpan w:val="4"/>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三、国防支出</w:t>
            </w:r>
          </w:p>
        </w:tc>
        <w:tc>
          <w:tcPr>
            <w:tcW w:w="42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35</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7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355"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6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709"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4</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402" w:type="dxa"/>
            <w:gridSpan w:val="4"/>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四、公共安全支出</w:t>
            </w:r>
          </w:p>
        </w:tc>
        <w:tc>
          <w:tcPr>
            <w:tcW w:w="42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36</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1,467.92</w:t>
            </w:r>
          </w:p>
        </w:tc>
        <w:tc>
          <w:tcPr>
            <w:tcW w:w="127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1,467.92</w:t>
            </w:r>
          </w:p>
        </w:tc>
        <w:tc>
          <w:tcPr>
            <w:tcW w:w="1355"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6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709"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5</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402" w:type="dxa"/>
            <w:gridSpan w:val="4"/>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五、教育支出</w:t>
            </w:r>
          </w:p>
        </w:tc>
        <w:tc>
          <w:tcPr>
            <w:tcW w:w="42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37</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27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355"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6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709"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6</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402" w:type="dxa"/>
            <w:gridSpan w:val="4"/>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六、科学技术支出</w:t>
            </w:r>
          </w:p>
        </w:tc>
        <w:tc>
          <w:tcPr>
            <w:tcW w:w="42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38</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7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355"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6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709"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7</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402" w:type="dxa"/>
            <w:gridSpan w:val="4"/>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七、文化旅游体育与传媒支出</w:t>
            </w:r>
          </w:p>
        </w:tc>
        <w:tc>
          <w:tcPr>
            <w:tcW w:w="42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39</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7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355"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6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709"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8</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402" w:type="dxa"/>
            <w:gridSpan w:val="4"/>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八、社会保障和就业支出</w:t>
            </w:r>
          </w:p>
        </w:tc>
        <w:tc>
          <w:tcPr>
            <w:tcW w:w="42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40</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98.49</w:t>
            </w:r>
          </w:p>
        </w:tc>
        <w:tc>
          <w:tcPr>
            <w:tcW w:w="127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98.49</w:t>
            </w:r>
          </w:p>
        </w:tc>
        <w:tc>
          <w:tcPr>
            <w:tcW w:w="1355"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6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709"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9</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402" w:type="dxa"/>
            <w:gridSpan w:val="4"/>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九、卫生健康支出</w:t>
            </w:r>
          </w:p>
        </w:tc>
        <w:tc>
          <w:tcPr>
            <w:tcW w:w="42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41</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39.45</w:t>
            </w:r>
          </w:p>
        </w:tc>
        <w:tc>
          <w:tcPr>
            <w:tcW w:w="127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39.45</w:t>
            </w:r>
          </w:p>
        </w:tc>
        <w:tc>
          <w:tcPr>
            <w:tcW w:w="1355"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6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709"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10</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402" w:type="dxa"/>
            <w:gridSpan w:val="4"/>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十、节能环保支出</w:t>
            </w:r>
          </w:p>
        </w:tc>
        <w:tc>
          <w:tcPr>
            <w:tcW w:w="42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42</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7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355"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6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709"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11</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402" w:type="dxa"/>
            <w:gridSpan w:val="4"/>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十一、城乡社区支出</w:t>
            </w:r>
          </w:p>
        </w:tc>
        <w:tc>
          <w:tcPr>
            <w:tcW w:w="42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43</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7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355"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6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709"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12</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402" w:type="dxa"/>
            <w:gridSpan w:val="4"/>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十二、农林水支出</w:t>
            </w:r>
          </w:p>
        </w:tc>
        <w:tc>
          <w:tcPr>
            <w:tcW w:w="42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44</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7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355"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6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709"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13</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402" w:type="dxa"/>
            <w:gridSpan w:val="4"/>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十三、交通运输支出</w:t>
            </w:r>
          </w:p>
        </w:tc>
        <w:tc>
          <w:tcPr>
            <w:tcW w:w="42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45</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7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355"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6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709"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14</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402" w:type="dxa"/>
            <w:gridSpan w:val="4"/>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十四、资源勘探工业信息等支出</w:t>
            </w:r>
          </w:p>
        </w:tc>
        <w:tc>
          <w:tcPr>
            <w:tcW w:w="42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46</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7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355"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6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709"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15</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402" w:type="dxa"/>
            <w:gridSpan w:val="4"/>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十五、商业服务业等支出</w:t>
            </w:r>
          </w:p>
        </w:tc>
        <w:tc>
          <w:tcPr>
            <w:tcW w:w="42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47</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7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355"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6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709"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16</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402" w:type="dxa"/>
            <w:gridSpan w:val="4"/>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十六、金融支出</w:t>
            </w:r>
          </w:p>
        </w:tc>
        <w:tc>
          <w:tcPr>
            <w:tcW w:w="42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48</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7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355"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6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709"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17</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402" w:type="dxa"/>
            <w:gridSpan w:val="4"/>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十七、援助其他地区支出</w:t>
            </w:r>
          </w:p>
        </w:tc>
        <w:tc>
          <w:tcPr>
            <w:tcW w:w="42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49</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7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355"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6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709"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18</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402" w:type="dxa"/>
            <w:gridSpan w:val="4"/>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十八、自然资源海洋气象等支出</w:t>
            </w:r>
          </w:p>
        </w:tc>
        <w:tc>
          <w:tcPr>
            <w:tcW w:w="42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50</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7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355"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6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709"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19</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402" w:type="dxa"/>
            <w:gridSpan w:val="4"/>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十九、住房保障支出</w:t>
            </w:r>
          </w:p>
        </w:tc>
        <w:tc>
          <w:tcPr>
            <w:tcW w:w="42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51</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184.24</w:t>
            </w:r>
          </w:p>
        </w:tc>
        <w:tc>
          <w:tcPr>
            <w:tcW w:w="127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184.24</w:t>
            </w:r>
          </w:p>
        </w:tc>
        <w:tc>
          <w:tcPr>
            <w:tcW w:w="1355"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6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709"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20</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402" w:type="dxa"/>
            <w:gridSpan w:val="4"/>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二十、粮油物资储备支出</w:t>
            </w:r>
          </w:p>
        </w:tc>
        <w:tc>
          <w:tcPr>
            <w:tcW w:w="42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52</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7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355"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6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709"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21</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402" w:type="dxa"/>
            <w:gridSpan w:val="4"/>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二十一、国有资本经营预算支出</w:t>
            </w:r>
          </w:p>
        </w:tc>
        <w:tc>
          <w:tcPr>
            <w:tcW w:w="42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53</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7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355"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6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709"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22</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402" w:type="dxa"/>
            <w:gridSpan w:val="4"/>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二十二、灾害防治及应急管理支出</w:t>
            </w:r>
          </w:p>
        </w:tc>
        <w:tc>
          <w:tcPr>
            <w:tcW w:w="42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54</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7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355"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6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709"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23</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402" w:type="dxa"/>
            <w:gridSpan w:val="4"/>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二十三、其他支出</w:t>
            </w:r>
          </w:p>
        </w:tc>
        <w:tc>
          <w:tcPr>
            <w:tcW w:w="42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55</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7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355"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6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　</w:t>
            </w:r>
          </w:p>
        </w:tc>
        <w:tc>
          <w:tcPr>
            <w:tcW w:w="709"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24</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402" w:type="dxa"/>
            <w:gridSpan w:val="4"/>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二十四、债务还本支出</w:t>
            </w:r>
          </w:p>
        </w:tc>
        <w:tc>
          <w:tcPr>
            <w:tcW w:w="42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56</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7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355"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6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709"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25</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402" w:type="dxa"/>
            <w:gridSpan w:val="4"/>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二十五、债务付息支出</w:t>
            </w:r>
          </w:p>
        </w:tc>
        <w:tc>
          <w:tcPr>
            <w:tcW w:w="42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57</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7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355"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6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709"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26</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402" w:type="dxa"/>
            <w:gridSpan w:val="4"/>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二十六、抗疫特别国债安排的支出</w:t>
            </w:r>
          </w:p>
        </w:tc>
        <w:tc>
          <w:tcPr>
            <w:tcW w:w="42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58</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7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355"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6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本年收入合计</w:t>
            </w:r>
          </w:p>
        </w:tc>
        <w:tc>
          <w:tcPr>
            <w:tcW w:w="709"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27</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1,944.70</w:t>
            </w:r>
          </w:p>
        </w:tc>
        <w:tc>
          <w:tcPr>
            <w:tcW w:w="3402" w:type="dxa"/>
            <w:gridSpan w:val="4"/>
            <w:tcBorders>
              <w:top w:val="nil"/>
              <w:left w:val="nil"/>
              <w:bottom w:val="single" w:color="000000" w:sz="4" w:space="0"/>
              <w:right w:val="single" w:color="000000" w:sz="4" w:space="0"/>
            </w:tcBorders>
            <w:shd w:val="clear" w:color="000000" w:fill="C0C0C0"/>
            <w:noWrap/>
            <w:vAlign w:val="center"/>
          </w:tcPr>
          <w:p>
            <w:pPr>
              <w:jc w:val="center"/>
              <w:rPr>
                <w:rFonts w:cs="Arial"/>
                <w:b/>
                <w:bCs/>
                <w:sz w:val="20"/>
                <w:szCs w:val="20"/>
              </w:rPr>
            </w:pPr>
            <w:r>
              <w:rPr>
                <w:rFonts w:hint="eastAsia" w:cs="Arial"/>
                <w:b/>
                <w:bCs/>
                <w:sz w:val="20"/>
                <w:szCs w:val="20"/>
              </w:rPr>
              <w:t>本年支出合计</w:t>
            </w:r>
          </w:p>
        </w:tc>
        <w:tc>
          <w:tcPr>
            <w:tcW w:w="42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59</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1,790.10</w:t>
            </w:r>
          </w:p>
        </w:tc>
        <w:tc>
          <w:tcPr>
            <w:tcW w:w="127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1,790.10</w:t>
            </w:r>
          </w:p>
        </w:tc>
        <w:tc>
          <w:tcPr>
            <w:tcW w:w="1355"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6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年初财政拨款结转和结余</w:t>
            </w:r>
          </w:p>
        </w:tc>
        <w:tc>
          <w:tcPr>
            <w:tcW w:w="709"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28</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49.40</w:t>
            </w:r>
          </w:p>
        </w:tc>
        <w:tc>
          <w:tcPr>
            <w:tcW w:w="3402" w:type="dxa"/>
            <w:gridSpan w:val="4"/>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年末财政拨款结转和结余</w:t>
            </w:r>
          </w:p>
        </w:tc>
        <w:tc>
          <w:tcPr>
            <w:tcW w:w="42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60</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204.00</w:t>
            </w:r>
          </w:p>
        </w:tc>
        <w:tc>
          <w:tcPr>
            <w:tcW w:w="127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204.00</w:t>
            </w:r>
          </w:p>
        </w:tc>
        <w:tc>
          <w:tcPr>
            <w:tcW w:w="1355"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6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一般公共预算财政拨款</w:t>
            </w:r>
          </w:p>
        </w:tc>
        <w:tc>
          <w:tcPr>
            <w:tcW w:w="709"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29</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49.40</w:t>
            </w:r>
          </w:p>
        </w:tc>
        <w:tc>
          <w:tcPr>
            <w:tcW w:w="3402" w:type="dxa"/>
            <w:gridSpan w:val="4"/>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42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61</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7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355"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6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政府性基金预算财政拨款</w:t>
            </w:r>
          </w:p>
        </w:tc>
        <w:tc>
          <w:tcPr>
            <w:tcW w:w="709"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30</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402" w:type="dxa"/>
            <w:gridSpan w:val="4"/>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42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62</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7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355"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6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国有资本经营预算财政拨款</w:t>
            </w:r>
          </w:p>
        </w:tc>
        <w:tc>
          <w:tcPr>
            <w:tcW w:w="709" w:type="dxa"/>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31</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402" w:type="dxa"/>
            <w:gridSpan w:val="4"/>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42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63</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7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355"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6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2283" w:type="dxa"/>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总计</w:t>
            </w:r>
          </w:p>
        </w:tc>
        <w:tc>
          <w:tcPr>
            <w:tcW w:w="709" w:type="dxa"/>
            <w:tcBorders>
              <w:top w:val="nil"/>
              <w:left w:val="nil"/>
              <w:bottom w:val="single" w:color="000000" w:sz="12"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32</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1,994.10</w:t>
            </w:r>
          </w:p>
        </w:tc>
        <w:tc>
          <w:tcPr>
            <w:tcW w:w="3402" w:type="dxa"/>
            <w:gridSpan w:val="4"/>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总计</w:t>
            </w:r>
          </w:p>
        </w:tc>
        <w:tc>
          <w:tcPr>
            <w:tcW w:w="425" w:type="dxa"/>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64</w:t>
            </w:r>
          </w:p>
        </w:tc>
        <w:tc>
          <w:tcPr>
            <w:tcW w:w="119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1,994.10</w:t>
            </w:r>
          </w:p>
        </w:tc>
        <w:tc>
          <w:tcPr>
            <w:tcW w:w="1276"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1,994.10</w:t>
            </w:r>
          </w:p>
        </w:tc>
        <w:tc>
          <w:tcPr>
            <w:tcW w:w="1355" w:type="dxa"/>
            <w:gridSpan w:val="3"/>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206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gridAfter w:val="1"/>
          <w:wAfter w:w="310" w:type="dxa"/>
          <w:trHeight w:val="300" w:hRule="atLeast"/>
        </w:trPr>
        <w:tc>
          <w:tcPr>
            <w:tcW w:w="11606" w:type="dxa"/>
            <w:gridSpan w:val="15"/>
            <w:tcBorders>
              <w:top w:val="nil"/>
              <w:left w:val="nil"/>
              <w:bottom w:val="nil"/>
              <w:right w:val="nil"/>
            </w:tcBorders>
            <w:shd w:val="clear" w:color="000000" w:fill="FFFFFF"/>
            <w:noWrap/>
            <w:vAlign w:val="center"/>
          </w:tcPr>
          <w:p>
            <w:pPr>
              <w:rPr>
                <w:rFonts w:cs="Arial"/>
                <w:sz w:val="20"/>
                <w:szCs w:val="20"/>
              </w:rPr>
            </w:pPr>
            <w:r>
              <w:rPr>
                <w:rFonts w:hint="eastAsia" w:cs="Arial"/>
                <w:sz w:val="20"/>
                <w:szCs w:val="20"/>
              </w:rPr>
              <w:t>注：本表反映部门本年度一般公共预算财政拨款、政府性基金预算财政拨款和国有资本经营预算财政拨款的总收支和年末结转结余情况。</w:t>
            </w:r>
          </w:p>
        </w:tc>
        <w:tc>
          <w:tcPr>
            <w:tcW w:w="1991" w:type="dxa"/>
            <w:gridSpan w:val="3"/>
            <w:tcBorders>
              <w:top w:val="nil"/>
              <w:left w:val="nil"/>
              <w:bottom w:val="nil"/>
              <w:right w:val="nil"/>
            </w:tcBorders>
            <w:shd w:val="clear" w:color="000000" w:fill="FFFFFF"/>
            <w:noWrap/>
            <w:vAlign w:val="center"/>
          </w:tcPr>
          <w:p>
            <w:pPr>
              <w:rPr>
                <w:rFonts w:cs="Arial"/>
                <w:sz w:val="20"/>
                <w:szCs w:val="20"/>
              </w:rPr>
            </w:pPr>
            <w:r>
              <w:rPr>
                <w:rFonts w:hint="eastAsia" w:cs="Arial"/>
                <w:sz w:val="20"/>
                <w:szCs w:val="20"/>
              </w:rPr>
              <w:t>　</w:t>
            </w:r>
          </w:p>
        </w:tc>
      </w:tr>
    </w:tbl>
    <w:p>
      <w:pPr>
        <w:sectPr>
          <w:pgSz w:w="16851" w:h="11915" w:orient="landscape"/>
          <w:pgMar w:top="1800" w:right="1440" w:bottom="1800" w:left="1440" w:header="851" w:footer="992" w:gutter="0"/>
          <w:cols w:space="720" w:num="1"/>
          <w:docGrid w:type="lines" w:linePitch="312" w:charSpace="0"/>
        </w:sectPr>
      </w:pPr>
    </w:p>
    <w:p>
      <w:pPr>
        <w:pStyle w:val="13"/>
        <w:adjustRightInd w:val="0"/>
        <w:snapToGrid w:val="0"/>
        <w:spacing w:before="0" w:beforeAutospacing="0" w:after="0" w:afterAutospacing="0"/>
        <w:ind w:firstLine="480" w:firstLineChars="150"/>
        <w:outlineLvl w:val="1"/>
        <w:rPr>
          <w:rFonts w:ascii="楷体_GB2312" w:hAnsi="楷体" w:eastAsia="楷体_GB2312" w:cs="楷体"/>
          <w:sz w:val="32"/>
          <w:szCs w:val="32"/>
          <w:shd w:val="clear" w:color="auto" w:fill="FFFFFF"/>
        </w:rPr>
      </w:pPr>
      <w:bookmarkStart w:id="10" w:name="_Toc32082"/>
      <w:r>
        <w:rPr>
          <w:rFonts w:hint="eastAsia" w:ascii="楷体_GB2312" w:hAnsi="楷体" w:eastAsia="楷体_GB2312" w:cs="楷体"/>
          <w:sz w:val="32"/>
          <w:szCs w:val="32"/>
          <w:shd w:val="clear" w:color="auto" w:fill="FFFFFF"/>
        </w:rPr>
        <w:t>五、一般公共预算财政拨款支出决算表</w:t>
      </w:r>
      <w:bookmarkEnd w:id="10"/>
    </w:p>
    <w:tbl>
      <w:tblPr>
        <w:tblStyle w:val="14"/>
        <w:tblW w:w="4965" w:type="pct"/>
        <w:tblInd w:w="0" w:type="dxa"/>
        <w:tblLayout w:type="fixed"/>
        <w:tblCellMar>
          <w:top w:w="0" w:type="dxa"/>
          <w:left w:w="108" w:type="dxa"/>
          <w:bottom w:w="0" w:type="dxa"/>
          <w:right w:w="108" w:type="dxa"/>
        </w:tblCellMar>
      </w:tblPr>
      <w:tblGrid>
        <w:gridCol w:w="867"/>
        <w:gridCol w:w="873"/>
        <w:gridCol w:w="447"/>
        <w:gridCol w:w="1391"/>
        <w:gridCol w:w="1350"/>
        <w:gridCol w:w="1276"/>
        <w:gridCol w:w="1027"/>
        <w:gridCol w:w="1240"/>
      </w:tblGrid>
      <w:tr>
        <w:tblPrEx>
          <w:tblCellMar>
            <w:top w:w="0" w:type="dxa"/>
            <w:left w:w="108" w:type="dxa"/>
            <w:bottom w:w="0" w:type="dxa"/>
            <w:right w:w="108" w:type="dxa"/>
          </w:tblCellMar>
        </w:tblPrEx>
        <w:trPr>
          <w:trHeight w:val="300" w:hRule="atLeast"/>
        </w:trPr>
        <w:tc>
          <w:tcPr>
            <w:tcW w:w="512" w:type="pct"/>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515" w:type="pct"/>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085" w:type="pct"/>
            <w:gridSpan w:val="2"/>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797" w:type="pct"/>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753" w:type="pct"/>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606" w:type="pct"/>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732" w:type="pct"/>
            <w:tcBorders>
              <w:top w:val="nil"/>
              <w:left w:val="nil"/>
              <w:bottom w:val="nil"/>
              <w:right w:val="single" w:color="808080" w:sz="4" w:space="0"/>
            </w:tcBorders>
            <w:shd w:val="clear" w:color="000000" w:fill="FFFFFF"/>
            <w:noWrap/>
            <w:vAlign w:val="center"/>
          </w:tcPr>
          <w:p>
            <w:pPr>
              <w:jc w:val="right"/>
              <w:rPr>
                <w:rFonts w:cs="Arial"/>
                <w:color w:val="000000"/>
                <w:sz w:val="22"/>
                <w:szCs w:val="22"/>
              </w:rPr>
            </w:pPr>
            <w:r>
              <w:rPr>
                <w:rFonts w:hint="eastAsia" w:cs="Arial"/>
                <w:color w:val="000000"/>
                <w:sz w:val="22"/>
                <w:szCs w:val="22"/>
              </w:rPr>
              <w:t>公开05表</w:t>
            </w:r>
          </w:p>
        </w:tc>
      </w:tr>
      <w:tr>
        <w:tblPrEx>
          <w:tblCellMar>
            <w:top w:w="0" w:type="dxa"/>
            <w:left w:w="108" w:type="dxa"/>
            <w:bottom w:w="0" w:type="dxa"/>
            <w:right w:w="108" w:type="dxa"/>
          </w:tblCellMar>
        </w:tblPrEx>
        <w:trPr>
          <w:trHeight w:val="300" w:hRule="atLeast"/>
        </w:trPr>
        <w:tc>
          <w:tcPr>
            <w:tcW w:w="2112" w:type="pct"/>
            <w:gridSpan w:val="4"/>
            <w:tcBorders>
              <w:top w:val="nil"/>
              <w:left w:val="nil"/>
              <w:bottom w:val="single" w:color="808080" w:sz="4" w:space="0"/>
              <w:right w:val="nil"/>
            </w:tcBorders>
            <w:shd w:val="clear" w:color="000000" w:fill="FFFFFF"/>
            <w:noWrap/>
            <w:vAlign w:val="center"/>
          </w:tcPr>
          <w:p>
            <w:pPr>
              <w:rPr>
                <w:rFonts w:cs="Arial"/>
                <w:color w:val="000000"/>
                <w:sz w:val="22"/>
                <w:szCs w:val="22"/>
              </w:rPr>
            </w:pPr>
            <w:r>
              <w:rPr>
                <w:rFonts w:hint="eastAsia" w:cs="Arial"/>
                <w:color w:val="000000"/>
                <w:sz w:val="22"/>
                <w:szCs w:val="22"/>
              </w:rPr>
              <w:t>部门：常德市武陵区人民检察院</w:t>
            </w:r>
          </w:p>
        </w:tc>
        <w:tc>
          <w:tcPr>
            <w:tcW w:w="797" w:type="pct"/>
            <w:tcBorders>
              <w:top w:val="nil"/>
              <w:left w:val="nil"/>
              <w:bottom w:val="single" w:color="808080" w:sz="4" w:space="0"/>
              <w:right w:val="nil"/>
            </w:tcBorders>
            <w:shd w:val="clear" w:color="000000" w:fill="FFFFFF"/>
            <w:noWrap/>
            <w:vAlign w:val="center"/>
          </w:tcPr>
          <w:p>
            <w:pPr>
              <w:jc w:val="center"/>
              <w:rPr>
                <w:rFonts w:cs="Arial"/>
                <w:color w:val="000000"/>
                <w:sz w:val="22"/>
                <w:szCs w:val="22"/>
              </w:rPr>
            </w:pPr>
          </w:p>
        </w:tc>
        <w:tc>
          <w:tcPr>
            <w:tcW w:w="753" w:type="pct"/>
            <w:tcBorders>
              <w:top w:val="nil"/>
              <w:left w:val="nil"/>
              <w:bottom w:val="single" w:color="808080" w:sz="4" w:space="0"/>
              <w:right w:val="nil"/>
            </w:tcBorders>
            <w:shd w:val="clear" w:color="000000" w:fill="FFFFFF"/>
            <w:noWrap/>
            <w:vAlign w:val="center"/>
          </w:tcPr>
          <w:p>
            <w:pPr>
              <w:rPr>
                <w:rFonts w:cs="Arial"/>
                <w:sz w:val="22"/>
                <w:szCs w:val="22"/>
              </w:rPr>
            </w:pPr>
            <w:r>
              <w:rPr>
                <w:rFonts w:hint="eastAsia" w:cs="Arial"/>
                <w:sz w:val="22"/>
                <w:szCs w:val="22"/>
              </w:rPr>
              <w:t>2020年度</w:t>
            </w:r>
          </w:p>
        </w:tc>
        <w:tc>
          <w:tcPr>
            <w:tcW w:w="1338" w:type="pct"/>
            <w:gridSpan w:val="2"/>
            <w:tcBorders>
              <w:top w:val="nil"/>
              <w:left w:val="nil"/>
              <w:bottom w:val="single" w:color="808080" w:sz="4" w:space="0"/>
              <w:right w:val="single" w:color="808080" w:sz="4" w:space="0"/>
            </w:tcBorders>
            <w:shd w:val="clear" w:color="000000" w:fill="FFFFFF"/>
            <w:noWrap/>
            <w:vAlign w:val="center"/>
          </w:tcPr>
          <w:p>
            <w:pPr>
              <w:rPr>
                <w:rFonts w:cs="Arial"/>
                <w:sz w:val="18"/>
                <w:szCs w:val="18"/>
              </w:rPr>
            </w:pPr>
            <w:r>
              <w:rPr>
                <w:rFonts w:hint="eastAsia" w:cs="Arial"/>
                <w:sz w:val="18"/>
                <w:szCs w:val="18"/>
              </w:rPr>
              <w:t>　</w:t>
            </w:r>
          </w:p>
          <w:p>
            <w:pPr>
              <w:ind w:right="110"/>
              <w:jc w:val="right"/>
              <w:rPr>
                <w:rFonts w:cs="Arial"/>
                <w:color w:val="000000"/>
                <w:sz w:val="22"/>
                <w:szCs w:val="22"/>
              </w:rPr>
            </w:pPr>
            <w:r>
              <w:rPr>
                <w:rFonts w:hint="eastAsia" w:cs="Arial"/>
                <w:color w:val="000000"/>
                <w:sz w:val="22"/>
                <w:szCs w:val="22"/>
              </w:rPr>
              <w:t>金额单位：万元</w:t>
            </w:r>
          </w:p>
        </w:tc>
      </w:tr>
      <w:tr>
        <w:tblPrEx>
          <w:tblCellMar>
            <w:top w:w="0" w:type="dxa"/>
            <w:left w:w="108" w:type="dxa"/>
            <w:bottom w:w="0" w:type="dxa"/>
            <w:right w:w="108" w:type="dxa"/>
          </w:tblCellMar>
        </w:tblPrEx>
        <w:trPr>
          <w:trHeight w:val="300" w:hRule="atLeast"/>
        </w:trPr>
        <w:tc>
          <w:tcPr>
            <w:tcW w:w="2909" w:type="pct"/>
            <w:gridSpan w:val="5"/>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项目</w:t>
            </w:r>
          </w:p>
        </w:tc>
        <w:tc>
          <w:tcPr>
            <w:tcW w:w="2091" w:type="pct"/>
            <w:gridSpan w:val="3"/>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本年支出</w:t>
            </w:r>
          </w:p>
        </w:tc>
      </w:tr>
      <w:tr>
        <w:tblPrEx>
          <w:tblCellMar>
            <w:top w:w="0" w:type="dxa"/>
            <w:left w:w="108" w:type="dxa"/>
            <w:bottom w:w="0" w:type="dxa"/>
            <w:right w:w="108" w:type="dxa"/>
          </w:tblCellMar>
        </w:tblPrEx>
        <w:trPr>
          <w:trHeight w:val="300" w:hRule="atLeast"/>
        </w:trPr>
        <w:tc>
          <w:tcPr>
            <w:tcW w:w="1291" w:type="pct"/>
            <w:gridSpan w:val="3"/>
            <w:vMerge w:val="restart"/>
            <w:tcBorders>
              <w:top w:val="nil"/>
              <w:left w:val="single" w:color="000000" w:sz="4" w:space="0"/>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功能分类科目编码</w:t>
            </w:r>
          </w:p>
        </w:tc>
        <w:tc>
          <w:tcPr>
            <w:tcW w:w="1618" w:type="pct"/>
            <w:gridSpan w:val="2"/>
            <w:vMerge w:val="restar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科目名称</w:t>
            </w:r>
          </w:p>
        </w:tc>
        <w:tc>
          <w:tcPr>
            <w:tcW w:w="753" w:type="pct"/>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小计</w:t>
            </w:r>
          </w:p>
        </w:tc>
        <w:tc>
          <w:tcPr>
            <w:tcW w:w="606" w:type="pct"/>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基本支出</w:t>
            </w:r>
          </w:p>
        </w:tc>
        <w:tc>
          <w:tcPr>
            <w:tcW w:w="732" w:type="pct"/>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项目支出</w:t>
            </w:r>
          </w:p>
        </w:tc>
      </w:tr>
      <w:tr>
        <w:tblPrEx>
          <w:tblCellMar>
            <w:top w:w="0" w:type="dxa"/>
            <w:left w:w="108" w:type="dxa"/>
            <w:bottom w:w="0" w:type="dxa"/>
            <w:right w:w="108" w:type="dxa"/>
          </w:tblCellMar>
        </w:tblPrEx>
        <w:trPr>
          <w:trHeight w:val="270" w:hRule="atLeast"/>
        </w:trPr>
        <w:tc>
          <w:tcPr>
            <w:tcW w:w="1291" w:type="pct"/>
            <w:gridSpan w:val="3"/>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1618" w:type="pct"/>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753" w:type="pct"/>
            <w:vMerge w:val="continue"/>
            <w:tcBorders>
              <w:top w:val="nil"/>
              <w:left w:val="nil"/>
              <w:bottom w:val="single" w:color="000000" w:sz="4" w:space="0"/>
              <w:right w:val="single" w:color="000000" w:sz="4" w:space="0"/>
            </w:tcBorders>
            <w:vAlign w:val="center"/>
          </w:tcPr>
          <w:p>
            <w:pPr>
              <w:rPr>
                <w:rFonts w:cs="Arial"/>
                <w:sz w:val="20"/>
                <w:szCs w:val="20"/>
              </w:rPr>
            </w:pPr>
          </w:p>
        </w:tc>
        <w:tc>
          <w:tcPr>
            <w:tcW w:w="606" w:type="pct"/>
            <w:vMerge w:val="continue"/>
            <w:tcBorders>
              <w:top w:val="nil"/>
              <w:left w:val="nil"/>
              <w:bottom w:val="single" w:color="000000" w:sz="4" w:space="0"/>
              <w:right w:val="single" w:color="000000" w:sz="4" w:space="0"/>
            </w:tcBorders>
            <w:vAlign w:val="center"/>
          </w:tcPr>
          <w:p>
            <w:pPr>
              <w:rPr>
                <w:rFonts w:cs="Arial"/>
                <w:sz w:val="20"/>
                <w:szCs w:val="20"/>
              </w:rPr>
            </w:pPr>
          </w:p>
        </w:tc>
        <w:tc>
          <w:tcPr>
            <w:tcW w:w="732" w:type="pct"/>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1291" w:type="pct"/>
            <w:gridSpan w:val="3"/>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1618" w:type="pct"/>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753" w:type="pct"/>
            <w:vMerge w:val="continue"/>
            <w:tcBorders>
              <w:top w:val="nil"/>
              <w:left w:val="nil"/>
              <w:bottom w:val="single" w:color="000000" w:sz="4" w:space="0"/>
              <w:right w:val="single" w:color="000000" w:sz="4" w:space="0"/>
            </w:tcBorders>
            <w:vAlign w:val="center"/>
          </w:tcPr>
          <w:p>
            <w:pPr>
              <w:rPr>
                <w:rFonts w:cs="Arial"/>
                <w:sz w:val="20"/>
                <w:szCs w:val="20"/>
              </w:rPr>
            </w:pPr>
          </w:p>
        </w:tc>
        <w:tc>
          <w:tcPr>
            <w:tcW w:w="606" w:type="pct"/>
            <w:vMerge w:val="continue"/>
            <w:tcBorders>
              <w:top w:val="nil"/>
              <w:left w:val="nil"/>
              <w:bottom w:val="single" w:color="000000" w:sz="4" w:space="0"/>
              <w:right w:val="single" w:color="000000" w:sz="4" w:space="0"/>
            </w:tcBorders>
            <w:vAlign w:val="center"/>
          </w:tcPr>
          <w:p>
            <w:pPr>
              <w:rPr>
                <w:rFonts w:cs="Arial"/>
                <w:sz w:val="20"/>
                <w:szCs w:val="20"/>
              </w:rPr>
            </w:pPr>
          </w:p>
        </w:tc>
        <w:tc>
          <w:tcPr>
            <w:tcW w:w="732" w:type="pct"/>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2909" w:type="pct"/>
            <w:gridSpan w:val="5"/>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栏次</w:t>
            </w:r>
          </w:p>
        </w:tc>
        <w:tc>
          <w:tcPr>
            <w:tcW w:w="753"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w:t>
            </w:r>
          </w:p>
        </w:tc>
        <w:tc>
          <w:tcPr>
            <w:tcW w:w="606"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w:t>
            </w:r>
          </w:p>
        </w:tc>
        <w:tc>
          <w:tcPr>
            <w:tcW w:w="732"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w:t>
            </w:r>
          </w:p>
        </w:tc>
      </w:tr>
      <w:tr>
        <w:tblPrEx>
          <w:tblCellMar>
            <w:top w:w="0" w:type="dxa"/>
            <w:left w:w="108" w:type="dxa"/>
            <w:bottom w:w="0" w:type="dxa"/>
            <w:right w:w="108" w:type="dxa"/>
          </w:tblCellMar>
        </w:tblPrEx>
        <w:trPr>
          <w:trHeight w:val="300" w:hRule="atLeast"/>
        </w:trPr>
        <w:tc>
          <w:tcPr>
            <w:tcW w:w="2909" w:type="pct"/>
            <w:gridSpan w:val="5"/>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合计</w:t>
            </w:r>
          </w:p>
        </w:tc>
        <w:tc>
          <w:tcPr>
            <w:tcW w:w="753" w:type="pct"/>
            <w:tcBorders>
              <w:top w:val="nil"/>
              <w:left w:val="nil"/>
              <w:bottom w:val="single" w:color="000000" w:sz="4" w:space="0"/>
              <w:right w:val="single" w:color="000000" w:sz="4" w:space="0"/>
            </w:tcBorders>
            <w:shd w:val="clear" w:color="000000" w:fill="FFFFFF"/>
            <w:noWrap/>
            <w:vAlign w:val="center"/>
          </w:tcPr>
          <w:p>
            <w:pPr>
              <w:jc w:val="right"/>
              <w:rPr>
                <w:rFonts w:cs="Arial"/>
                <w:b/>
                <w:bCs/>
                <w:sz w:val="20"/>
                <w:szCs w:val="20"/>
              </w:rPr>
            </w:pPr>
            <w:r>
              <w:rPr>
                <w:rFonts w:hint="eastAsia" w:cs="Arial"/>
                <w:b/>
                <w:bCs/>
                <w:sz w:val="20"/>
                <w:szCs w:val="20"/>
              </w:rPr>
              <w:t>1,790.10</w:t>
            </w:r>
          </w:p>
        </w:tc>
        <w:tc>
          <w:tcPr>
            <w:tcW w:w="606" w:type="pct"/>
            <w:tcBorders>
              <w:top w:val="nil"/>
              <w:left w:val="nil"/>
              <w:bottom w:val="single" w:color="000000" w:sz="4" w:space="0"/>
              <w:right w:val="single" w:color="000000" w:sz="4" w:space="0"/>
            </w:tcBorders>
            <w:shd w:val="clear" w:color="000000" w:fill="FFFFFF"/>
            <w:noWrap/>
            <w:vAlign w:val="center"/>
          </w:tcPr>
          <w:p>
            <w:pPr>
              <w:jc w:val="right"/>
              <w:rPr>
                <w:rFonts w:cs="Arial"/>
                <w:b/>
                <w:bCs/>
                <w:sz w:val="20"/>
                <w:szCs w:val="20"/>
              </w:rPr>
            </w:pPr>
            <w:r>
              <w:rPr>
                <w:rFonts w:hint="eastAsia" w:cs="Arial"/>
                <w:b/>
                <w:bCs/>
                <w:sz w:val="20"/>
                <w:szCs w:val="20"/>
              </w:rPr>
              <w:t>1,696.11</w:t>
            </w:r>
          </w:p>
        </w:tc>
        <w:tc>
          <w:tcPr>
            <w:tcW w:w="732" w:type="pct"/>
            <w:tcBorders>
              <w:top w:val="nil"/>
              <w:left w:val="nil"/>
              <w:bottom w:val="single" w:color="000000" w:sz="4" w:space="0"/>
              <w:right w:val="single" w:color="000000" w:sz="4" w:space="0"/>
            </w:tcBorders>
            <w:shd w:val="clear" w:color="000000" w:fill="FFFFFF"/>
            <w:noWrap/>
            <w:vAlign w:val="center"/>
          </w:tcPr>
          <w:p>
            <w:pPr>
              <w:jc w:val="right"/>
              <w:rPr>
                <w:rFonts w:cs="Arial"/>
                <w:b/>
                <w:bCs/>
                <w:sz w:val="20"/>
                <w:szCs w:val="20"/>
              </w:rPr>
            </w:pPr>
            <w:r>
              <w:rPr>
                <w:rFonts w:hint="eastAsia" w:cs="Arial"/>
                <w:b/>
                <w:bCs/>
                <w:sz w:val="20"/>
                <w:szCs w:val="20"/>
              </w:rPr>
              <w:t>93.99</w:t>
            </w:r>
          </w:p>
        </w:tc>
      </w:tr>
      <w:tr>
        <w:tblPrEx>
          <w:tblCellMar>
            <w:top w:w="0" w:type="dxa"/>
            <w:left w:w="108" w:type="dxa"/>
            <w:bottom w:w="0" w:type="dxa"/>
            <w:right w:w="108" w:type="dxa"/>
          </w:tblCellMar>
        </w:tblPrEx>
        <w:trPr>
          <w:trHeight w:val="300" w:hRule="atLeast"/>
        </w:trPr>
        <w:tc>
          <w:tcPr>
            <w:tcW w:w="1291" w:type="pct"/>
            <w:gridSpan w:val="3"/>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204</w:t>
            </w:r>
          </w:p>
        </w:tc>
        <w:tc>
          <w:tcPr>
            <w:tcW w:w="1618" w:type="pct"/>
            <w:gridSpan w:val="2"/>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公共安全支出</w:t>
            </w:r>
          </w:p>
        </w:tc>
        <w:tc>
          <w:tcPr>
            <w:tcW w:w="753" w:type="pct"/>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1,467.92</w:t>
            </w:r>
          </w:p>
        </w:tc>
        <w:tc>
          <w:tcPr>
            <w:tcW w:w="606" w:type="pct"/>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1,373.93</w:t>
            </w:r>
          </w:p>
        </w:tc>
        <w:tc>
          <w:tcPr>
            <w:tcW w:w="732" w:type="pct"/>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93.99</w:t>
            </w:r>
          </w:p>
        </w:tc>
      </w:tr>
      <w:tr>
        <w:tblPrEx>
          <w:tblCellMar>
            <w:top w:w="0" w:type="dxa"/>
            <w:left w:w="108" w:type="dxa"/>
            <w:bottom w:w="0" w:type="dxa"/>
            <w:right w:w="108" w:type="dxa"/>
          </w:tblCellMar>
        </w:tblPrEx>
        <w:trPr>
          <w:trHeight w:val="300" w:hRule="atLeast"/>
        </w:trPr>
        <w:tc>
          <w:tcPr>
            <w:tcW w:w="1291" w:type="pct"/>
            <w:gridSpan w:val="3"/>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20404</w:t>
            </w:r>
          </w:p>
        </w:tc>
        <w:tc>
          <w:tcPr>
            <w:tcW w:w="1618" w:type="pct"/>
            <w:gridSpan w:val="2"/>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检察</w:t>
            </w:r>
          </w:p>
        </w:tc>
        <w:tc>
          <w:tcPr>
            <w:tcW w:w="753" w:type="pct"/>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1,467.92</w:t>
            </w:r>
          </w:p>
        </w:tc>
        <w:tc>
          <w:tcPr>
            <w:tcW w:w="606" w:type="pct"/>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1,373.93</w:t>
            </w:r>
          </w:p>
        </w:tc>
        <w:tc>
          <w:tcPr>
            <w:tcW w:w="732" w:type="pct"/>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93.99</w:t>
            </w:r>
          </w:p>
        </w:tc>
      </w:tr>
      <w:tr>
        <w:tblPrEx>
          <w:tblCellMar>
            <w:top w:w="0" w:type="dxa"/>
            <w:left w:w="108" w:type="dxa"/>
            <w:bottom w:w="0" w:type="dxa"/>
            <w:right w:w="108" w:type="dxa"/>
          </w:tblCellMar>
        </w:tblPrEx>
        <w:trPr>
          <w:trHeight w:val="300" w:hRule="atLeast"/>
        </w:trPr>
        <w:tc>
          <w:tcPr>
            <w:tcW w:w="1291" w:type="pct"/>
            <w:gridSpan w:val="3"/>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2040401</w:t>
            </w:r>
          </w:p>
        </w:tc>
        <w:tc>
          <w:tcPr>
            <w:tcW w:w="1618" w:type="pct"/>
            <w:gridSpan w:val="2"/>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行政运行</w:t>
            </w:r>
          </w:p>
        </w:tc>
        <w:tc>
          <w:tcPr>
            <w:tcW w:w="753"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1,320.68</w:t>
            </w:r>
          </w:p>
        </w:tc>
        <w:tc>
          <w:tcPr>
            <w:tcW w:w="606"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1,320.68</w:t>
            </w:r>
          </w:p>
        </w:tc>
        <w:tc>
          <w:tcPr>
            <w:tcW w:w="732"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291" w:type="pct"/>
            <w:gridSpan w:val="3"/>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2040402</w:t>
            </w:r>
          </w:p>
        </w:tc>
        <w:tc>
          <w:tcPr>
            <w:tcW w:w="1618" w:type="pct"/>
            <w:gridSpan w:val="2"/>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一般行政管理事务</w:t>
            </w:r>
          </w:p>
        </w:tc>
        <w:tc>
          <w:tcPr>
            <w:tcW w:w="753"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93.05</w:t>
            </w:r>
          </w:p>
        </w:tc>
        <w:tc>
          <w:tcPr>
            <w:tcW w:w="606"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732"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93.05</w:t>
            </w:r>
          </w:p>
        </w:tc>
      </w:tr>
      <w:tr>
        <w:tblPrEx>
          <w:tblCellMar>
            <w:top w:w="0" w:type="dxa"/>
            <w:left w:w="108" w:type="dxa"/>
            <w:bottom w:w="0" w:type="dxa"/>
            <w:right w:w="108" w:type="dxa"/>
          </w:tblCellMar>
        </w:tblPrEx>
        <w:trPr>
          <w:trHeight w:val="300" w:hRule="atLeast"/>
        </w:trPr>
        <w:tc>
          <w:tcPr>
            <w:tcW w:w="1291" w:type="pct"/>
            <w:gridSpan w:val="3"/>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2040410</w:t>
            </w:r>
          </w:p>
        </w:tc>
        <w:tc>
          <w:tcPr>
            <w:tcW w:w="1618" w:type="pct"/>
            <w:gridSpan w:val="2"/>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检察监督</w:t>
            </w:r>
          </w:p>
        </w:tc>
        <w:tc>
          <w:tcPr>
            <w:tcW w:w="753"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54.19</w:t>
            </w:r>
          </w:p>
        </w:tc>
        <w:tc>
          <w:tcPr>
            <w:tcW w:w="606"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53.25</w:t>
            </w:r>
          </w:p>
        </w:tc>
        <w:tc>
          <w:tcPr>
            <w:tcW w:w="732"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0.94</w:t>
            </w:r>
          </w:p>
        </w:tc>
      </w:tr>
      <w:tr>
        <w:tblPrEx>
          <w:tblCellMar>
            <w:top w:w="0" w:type="dxa"/>
            <w:left w:w="108" w:type="dxa"/>
            <w:bottom w:w="0" w:type="dxa"/>
            <w:right w:w="108" w:type="dxa"/>
          </w:tblCellMar>
        </w:tblPrEx>
        <w:trPr>
          <w:trHeight w:val="300" w:hRule="atLeast"/>
        </w:trPr>
        <w:tc>
          <w:tcPr>
            <w:tcW w:w="1291" w:type="pct"/>
            <w:gridSpan w:val="3"/>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208</w:t>
            </w:r>
          </w:p>
        </w:tc>
        <w:tc>
          <w:tcPr>
            <w:tcW w:w="1618" w:type="pct"/>
            <w:gridSpan w:val="2"/>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社会保障和就业支出</w:t>
            </w:r>
          </w:p>
        </w:tc>
        <w:tc>
          <w:tcPr>
            <w:tcW w:w="753" w:type="pct"/>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98.49</w:t>
            </w:r>
          </w:p>
        </w:tc>
        <w:tc>
          <w:tcPr>
            <w:tcW w:w="606" w:type="pct"/>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98.49</w:t>
            </w:r>
          </w:p>
        </w:tc>
        <w:tc>
          <w:tcPr>
            <w:tcW w:w="732" w:type="pct"/>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　</w:t>
            </w:r>
          </w:p>
        </w:tc>
      </w:tr>
      <w:tr>
        <w:tblPrEx>
          <w:tblCellMar>
            <w:top w:w="0" w:type="dxa"/>
            <w:left w:w="108" w:type="dxa"/>
            <w:bottom w:w="0" w:type="dxa"/>
            <w:right w:w="108" w:type="dxa"/>
          </w:tblCellMar>
        </w:tblPrEx>
        <w:trPr>
          <w:trHeight w:val="300" w:hRule="atLeast"/>
        </w:trPr>
        <w:tc>
          <w:tcPr>
            <w:tcW w:w="1291" w:type="pct"/>
            <w:gridSpan w:val="3"/>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20805</w:t>
            </w:r>
          </w:p>
        </w:tc>
        <w:tc>
          <w:tcPr>
            <w:tcW w:w="1618" w:type="pct"/>
            <w:gridSpan w:val="2"/>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行政事业单位养老支出</w:t>
            </w:r>
          </w:p>
        </w:tc>
        <w:tc>
          <w:tcPr>
            <w:tcW w:w="753" w:type="pct"/>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88.68</w:t>
            </w:r>
          </w:p>
        </w:tc>
        <w:tc>
          <w:tcPr>
            <w:tcW w:w="606" w:type="pct"/>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88.68</w:t>
            </w:r>
          </w:p>
        </w:tc>
        <w:tc>
          <w:tcPr>
            <w:tcW w:w="732" w:type="pct"/>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　</w:t>
            </w:r>
          </w:p>
        </w:tc>
      </w:tr>
      <w:tr>
        <w:tblPrEx>
          <w:tblCellMar>
            <w:top w:w="0" w:type="dxa"/>
            <w:left w:w="108" w:type="dxa"/>
            <w:bottom w:w="0" w:type="dxa"/>
            <w:right w:w="108" w:type="dxa"/>
          </w:tblCellMar>
        </w:tblPrEx>
        <w:trPr>
          <w:trHeight w:val="300" w:hRule="atLeast"/>
        </w:trPr>
        <w:tc>
          <w:tcPr>
            <w:tcW w:w="1291" w:type="pct"/>
            <w:gridSpan w:val="3"/>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2080501</w:t>
            </w:r>
          </w:p>
        </w:tc>
        <w:tc>
          <w:tcPr>
            <w:tcW w:w="1618" w:type="pct"/>
            <w:gridSpan w:val="2"/>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行政单位离退休</w:t>
            </w:r>
          </w:p>
        </w:tc>
        <w:tc>
          <w:tcPr>
            <w:tcW w:w="753"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11.68</w:t>
            </w:r>
          </w:p>
        </w:tc>
        <w:tc>
          <w:tcPr>
            <w:tcW w:w="606"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11.68</w:t>
            </w:r>
          </w:p>
        </w:tc>
        <w:tc>
          <w:tcPr>
            <w:tcW w:w="732"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291" w:type="pct"/>
            <w:gridSpan w:val="3"/>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2080505</w:t>
            </w:r>
          </w:p>
        </w:tc>
        <w:tc>
          <w:tcPr>
            <w:tcW w:w="1618" w:type="pct"/>
            <w:gridSpan w:val="2"/>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机关事业单位基本养老保险缴费支出</w:t>
            </w:r>
          </w:p>
        </w:tc>
        <w:tc>
          <w:tcPr>
            <w:tcW w:w="753"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77.00</w:t>
            </w:r>
          </w:p>
        </w:tc>
        <w:tc>
          <w:tcPr>
            <w:tcW w:w="606"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77.00</w:t>
            </w:r>
          </w:p>
        </w:tc>
        <w:tc>
          <w:tcPr>
            <w:tcW w:w="732"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291" w:type="pct"/>
            <w:gridSpan w:val="3"/>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20899</w:t>
            </w:r>
          </w:p>
        </w:tc>
        <w:tc>
          <w:tcPr>
            <w:tcW w:w="1618" w:type="pct"/>
            <w:gridSpan w:val="2"/>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其他社会保障和就业支出</w:t>
            </w:r>
          </w:p>
        </w:tc>
        <w:tc>
          <w:tcPr>
            <w:tcW w:w="753" w:type="pct"/>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9.81</w:t>
            </w:r>
          </w:p>
        </w:tc>
        <w:tc>
          <w:tcPr>
            <w:tcW w:w="606" w:type="pct"/>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9.81</w:t>
            </w:r>
          </w:p>
        </w:tc>
        <w:tc>
          <w:tcPr>
            <w:tcW w:w="732" w:type="pct"/>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　</w:t>
            </w:r>
          </w:p>
        </w:tc>
      </w:tr>
      <w:tr>
        <w:tblPrEx>
          <w:tblCellMar>
            <w:top w:w="0" w:type="dxa"/>
            <w:left w:w="108" w:type="dxa"/>
            <w:bottom w:w="0" w:type="dxa"/>
            <w:right w:w="108" w:type="dxa"/>
          </w:tblCellMar>
        </w:tblPrEx>
        <w:trPr>
          <w:trHeight w:val="300" w:hRule="atLeast"/>
        </w:trPr>
        <w:tc>
          <w:tcPr>
            <w:tcW w:w="1291" w:type="pct"/>
            <w:gridSpan w:val="3"/>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2089901</w:t>
            </w:r>
          </w:p>
        </w:tc>
        <w:tc>
          <w:tcPr>
            <w:tcW w:w="1618" w:type="pct"/>
            <w:gridSpan w:val="2"/>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其他社会保障和就业支出</w:t>
            </w:r>
          </w:p>
        </w:tc>
        <w:tc>
          <w:tcPr>
            <w:tcW w:w="753"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9.81</w:t>
            </w:r>
          </w:p>
        </w:tc>
        <w:tc>
          <w:tcPr>
            <w:tcW w:w="606"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9.81</w:t>
            </w:r>
          </w:p>
        </w:tc>
        <w:tc>
          <w:tcPr>
            <w:tcW w:w="732"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291" w:type="pct"/>
            <w:gridSpan w:val="3"/>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210</w:t>
            </w:r>
          </w:p>
        </w:tc>
        <w:tc>
          <w:tcPr>
            <w:tcW w:w="1618" w:type="pct"/>
            <w:gridSpan w:val="2"/>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卫生健康支出</w:t>
            </w:r>
          </w:p>
        </w:tc>
        <w:tc>
          <w:tcPr>
            <w:tcW w:w="753" w:type="pct"/>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39.45</w:t>
            </w:r>
          </w:p>
        </w:tc>
        <w:tc>
          <w:tcPr>
            <w:tcW w:w="606" w:type="pct"/>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39.45</w:t>
            </w:r>
          </w:p>
        </w:tc>
        <w:tc>
          <w:tcPr>
            <w:tcW w:w="732" w:type="pct"/>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　</w:t>
            </w:r>
          </w:p>
        </w:tc>
      </w:tr>
      <w:tr>
        <w:tblPrEx>
          <w:tblCellMar>
            <w:top w:w="0" w:type="dxa"/>
            <w:left w:w="108" w:type="dxa"/>
            <w:bottom w:w="0" w:type="dxa"/>
            <w:right w:w="108" w:type="dxa"/>
          </w:tblCellMar>
        </w:tblPrEx>
        <w:trPr>
          <w:trHeight w:val="300" w:hRule="atLeast"/>
        </w:trPr>
        <w:tc>
          <w:tcPr>
            <w:tcW w:w="1291" w:type="pct"/>
            <w:gridSpan w:val="3"/>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21011</w:t>
            </w:r>
          </w:p>
        </w:tc>
        <w:tc>
          <w:tcPr>
            <w:tcW w:w="1618" w:type="pct"/>
            <w:gridSpan w:val="2"/>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行政事业单位医疗</w:t>
            </w:r>
          </w:p>
        </w:tc>
        <w:tc>
          <w:tcPr>
            <w:tcW w:w="753" w:type="pct"/>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39.45</w:t>
            </w:r>
          </w:p>
        </w:tc>
        <w:tc>
          <w:tcPr>
            <w:tcW w:w="606" w:type="pct"/>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39.45</w:t>
            </w:r>
          </w:p>
        </w:tc>
        <w:tc>
          <w:tcPr>
            <w:tcW w:w="732" w:type="pct"/>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　</w:t>
            </w:r>
          </w:p>
        </w:tc>
      </w:tr>
      <w:tr>
        <w:tblPrEx>
          <w:tblCellMar>
            <w:top w:w="0" w:type="dxa"/>
            <w:left w:w="108" w:type="dxa"/>
            <w:bottom w:w="0" w:type="dxa"/>
            <w:right w:w="108" w:type="dxa"/>
          </w:tblCellMar>
        </w:tblPrEx>
        <w:trPr>
          <w:trHeight w:val="300" w:hRule="atLeast"/>
        </w:trPr>
        <w:tc>
          <w:tcPr>
            <w:tcW w:w="1291" w:type="pct"/>
            <w:gridSpan w:val="3"/>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2101101</w:t>
            </w:r>
          </w:p>
        </w:tc>
        <w:tc>
          <w:tcPr>
            <w:tcW w:w="1618" w:type="pct"/>
            <w:gridSpan w:val="2"/>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行政单位医疗</w:t>
            </w:r>
          </w:p>
        </w:tc>
        <w:tc>
          <w:tcPr>
            <w:tcW w:w="753"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39.45</w:t>
            </w:r>
          </w:p>
        </w:tc>
        <w:tc>
          <w:tcPr>
            <w:tcW w:w="606"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39.45</w:t>
            </w:r>
          </w:p>
        </w:tc>
        <w:tc>
          <w:tcPr>
            <w:tcW w:w="732"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291" w:type="pct"/>
            <w:gridSpan w:val="3"/>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221</w:t>
            </w:r>
          </w:p>
        </w:tc>
        <w:tc>
          <w:tcPr>
            <w:tcW w:w="1618" w:type="pct"/>
            <w:gridSpan w:val="2"/>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住房保障支出</w:t>
            </w:r>
          </w:p>
        </w:tc>
        <w:tc>
          <w:tcPr>
            <w:tcW w:w="753" w:type="pct"/>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184.24</w:t>
            </w:r>
          </w:p>
        </w:tc>
        <w:tc>
          <w:tcPr>
            <w:tcW w:w="606" w:type="pct"/>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184.24</w:t>
            </w:r>
          </w:p>
        </w:tc>
        <w:tc>
          <w:tcPr>
            <w:tcW w:w="732" w:type="pct"/>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　</w:t>
            </w:r>
          </w:p>
        </w:tc>
      </w:tr>
      <w:tr>
        <w:tblPrEx>
          <w:tblCellMar>
            <w:top w:w="0" w:type="dxa"/>
            <w:left w:w="108" w:type="dxa"/>
            <w:bottom w:w="0" w:type="dxa"/>
            <w:right w:w="108" w:type="dxa"/>
          </w:tblCellMar>
        </w:tblPrEx>
        <w:trPr>
          <w:trHeight w:val="300" w:hRule="atLeast"/>
        </w:trPr>
        <w:tc>
          <w:tcPr>
            <w:tcW w:w="1291" w:type="pct"/>
            <w:gridSpan w:val="3"/>
            <w:tcBorders>
              <w:top w:val="nil"/>
              <w:left w:val="single" w:color="000000" w:sz="4" w:space="0"/>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22102</w:t>
            </w:r>
          </w:p>
        </w:tc>
        <w:tc>
          <w:tcPr>
            <w:tcW w:w="1618" w:type="pct"/>
            <w:gridSpan w:val="2"/>
            <w:tcBorders>
              <w:top w:val="nil"/>
              <w:left w:val="nil"/>
              <w:bottom w:val="single" w:color="000000" w:sz="4" w:space="0"/>
              <w:right w:val="single" w:color="000000" w:sz="4" w:space="0"/>
            </w:tcBorders>
            <w:shd w:val="clear" w:color="000000" w:fill="C0C0C0"/>
            <w:noWrap/>
            <w:vAlign w:val="center"/>
          </w:tcPr>
          <w:p>
            <w:pPr>
              <w:rPr>
                <w:rFonts w:cs="Arial"/>
                <w:b/>
                <w:bCs/>
                <w:sz w:val="20"/>
                <w:szCs w:val="20"/>
              </w:rPr>
            </w:pPr>
            <w:r>
              <w:rPr>
                <w:rFonts w:hint="eastAsia" w:cs="Arial"/>
                <w:b/>
                <w:bCs/>
                <w:sz w:val="20"/>
                <w:szCs w:val="20"/>
              </w:rPr>
              <w:t>住房改革支出</w:t>
            </w:r>
          </w:p>
        </w:tc>
        <w:tc>
          <w:tcPr>
            <w:tcW w:w="753" w:type="pct"/>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184.24</w:t>
            </w:r>
          </w:p>
        </w:tc>
        <w:tc>
          <w:tcPr>
            <w:tcW w:w="606" w:type="pct"/>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184.24</w:t>
            </w:r>
          </w:p>
        </w:tc>
        <w:tc>
          <w:tcPr>
            <w:tcW w:w="732" w:type="pct"/>
            <w:tcBorders>
              <w:top w:val="nil"/>
              <w:left w:val="nil"/>
              <w:bottom w:val="single" w:color="000000" w:sz="4" w:space="0"/>
              <w:right w:val="single" w:color="000000" w:sz="4" w:space="0"/>
            </w:tcBorders>
            <w:shd w:val="clear" w:color="000000" w:fill="C0C0C0"/>
            <w:noWrap/>
            <w:vAlign w:val="center"/>
          </w:tcPr>
          <w:p>
            <w:pPr>
              <w:jc w:val="right"/>
              <w:rPr>
                <w:rFonts w:cs="Arial"/>
                <w:b/>
                <w:bCs/>
                <w:sz w:val="20"/>
                <w:szCs w:val="20"/>
              </w:rPr>
            </w:pPr>
            <w:r>
              <w:rPr>
                <w:rFonts w:hint="eastAsia" w:cs="Arial"/>
                <w:b/>
                <w:bCs/>
                <w:sz w:val="20"/>
                <w:szCs w:val="20"/>
              </w:rPr>
              <w:t>　</w:t>
            </w:r>
          </w:p>
        </w:tc>
      </w:tr>
      <w:tr>
        <w:tblPrEx>
          <w:tblCellMar>
            <w:top w:w="0" w:type="dxa"/>
            <w:left w:w="108" w:type="dxa"/>
            <w:bottom w:w="0" w:type="dxa"/>
            <w:right w:w="108" w:type="dxa"/>
          </w:tblCellMar>
        </w:tblPrEx>
        <w:trPr>
          <w:trHeight w:val="300" w:hRule="atLeast"/>
        </w:trPr>
        <w:tc>
          <w:tcPr>
            <w:tcW w:w="1291" w:type="pct"/>
            <w:gridSpan w:val="3"/>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2210201</w:t>
            </w:r>
          </w:p>
        </w:tc>
        <w:tc>
          <w:tcPr>
            <w:tcW w:w="1618" w:type="pct"/>
            <w:gridSpan w:val="2"/>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xml:space="preserve">  住房公积金</w:t>
            </w:r>
          </w:p>
        </w:tc>
        <w:tc>
          <w:tcPr>
            <w:tcW w:w="753"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184.24</w:t>
            </w:r>
          </w:p>
        </w:tc>
        <w:tc>
          <w:tcPr>
            <w:tcW w:w="606"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184.24</w:t>
            </w:r>
          </w:p>
        </w:tc>
        <w:tc>
          <w:tcPr>
            <w:tcW w:w="732"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000000" w:fill="FFFFFF"/>
            <w:noWrap/>
            <w:vAlign w:val="center"/>
          </w:tcPr>
          <w:p>
            <w:pPr>
              <w:rPr>
                <w:rFonts w:cs="Arial"/>
                <w:sz w:val="20"/>
                <w:szCs w:val="20"/>
              </w:rPr>
            </w:pPr>
            <w:r>
              <w:rPr>
                <w:rFonts w:hint="eastAsia" w:cs="Arial"/>
                <w:sz w:val="20"/>
                <w:szCs w:val="20"/>
              </w:rPr>
              <w:t>注：本表反映部门本年度一般公共预算财政拨款支出情况。</w:t>
            </w:r>
          </w:p>
        </w:tc>
      </w:tr>
    </w:tbl>
    <w:p/>
    <w:p>
      <w:pPr>
        <w:sectPr>
          <w:pgSz w:w="11915" w:h="16851"/>
          <w:pgMar w:top="960" w:right="1800" w:bottom="1296" w:left="1800" w:header="851" w:footer="992" w:gutter="0"/>
          <w:cols w:space="720" w:num="1"/>
          <w:docGrid w:type="lines" w:linePitch="312" w:charSpace="0"/>
        </w:sectPr>
      </w:pPr>
    </w:p>
    <w:p>
      <w:pPr>
        <w:pStyle w:val="13"/>
        <w:spacing w:before="0" w:beforeAutospacing="0"/>
        <w:ind w:firstLine="480" w:firstLineChars="150"/>
        <w:outlineLvl w:val="1"/>
        <w:rPr>
          <w:rFonts w:ascii="楷体_GB2312" w:hAnsi="楷体" w:eastAsia="楷体_GB2312" w:cs="楷体"/>
          <w:sz w:val="32"/>
          <w:szCs w:val="32"/>
          <w:shd w:val="clear" w:color="auto" w:fill="FFFFFF"/>
        </w:rPr>
      </w:pPr>
      <w:bookmarkStart w:id="11" w:name="_Toc21182"/>
      <w:r>
        <w:rPr>
          <w:rFonts w:hint="eastAsia" w:ascii="楷体_GB2312" w:hAnsi="楷体" w:eastAsia="楷体_GB2312" w:cs="楷体"/>
          <w:sz w:val="32"/>
          <w:szCs w:val="32"/>
          <w:shd w:val="clear" w:color="auto" w:fill="FFFFFF"/>
        </w:rPr>
        <w:t>六、一般公共预算财政拨款基本支出决算表</w:t>
      </w:r>
      <w:bookmarkEnd w:id="11"/>
    </w:p>
    <w:tbl>
      <w:tblPr>
        <w:tblStyle w:val="14"/>
        <w:tblW w:w="13608" w:type="dxa"/>
        <w:tblInd w:w="108" w:type="dxa"/>
        <w:tblLayout w:type="fixed"/>
        <w:tblCellMar>
          <w:top w:w="0" w:type="dxa"/>
          <w:left w:w="108" w:type="dxa"/>
          <w:bottom w:w="0" w:type="dxa"/>
          <w:right w:w="108" w:type="dxa"/>
        </w:tblCellMar>
      </w:tblPr>
      <w:tblGrid>
        <w:gridCol w:w="570"/>
        <w:gridCol w:w="564"/>
        <w:gridCol w:w="2127"/>
        <w:gridCol w:w="292"/>
        <w:gridCol w:w="983"/>
        <w:gridCol w:w="662"/>
        <w:gridCol w:w="614"/>
        <w:gridCol w:w="1446"/>
        <w:gridCol w:w="539"/>
        <w:gridCol w:w="230"/>
        <w:gridCol w:w="1045"/>
        <w:gridCol w:w="1134"/>
        <w:gridCol w:w="1843"/>
        <w:gridCol w:w="142"/>
        <w:gridCol w:w="1417"/>
      </w:tblGrid>
      <w:tr>
        <w:tblPrEx>
          <w:tblCellMar>
            <w:top w:w="0" w:type="dxa"/>
            <w:left w:w="108" w:type="dxa"/>
            <w:bottom w:w="0" w:type="dxa"/>
            <w:right w:w="108" w:type="dxa"/>
          </w:tblCellMar>
        </w:tblPrEx>
        <w:trPr>
          <w:trHeight w:val="300" w:hRule="atLeast"/>
        </w:trPr>
        <w:tc>
          <w:tcPr>
            <w:tcW w:w="570"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2983" w:type="dxa"/>
            <w:gridSpan w:val="3"/>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983"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662"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2060" w:type="dxa"/>
            <w:gridSpan w:val="2"/>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769" w:type="dxa"/>
            <w:gridSpan w:val="2"/>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045" w:type="dxa"/>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2977" w:type="dxa"/>
            <w:gridSpan w:val="2"/>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559" w:type="dxa"/>
            <w:gridSpan w:val="2"/>
            <w:tcBorders>
              <w:top w:val="nil"/>
              <w:left w:val="nil"/>
              <w:bottom w:val="nil"/>
              <w:right w:val="single" w:color="808080" w:sz="4" w:space="0"/>
            </w:tcBorders>
            <w:shd w:val="clear" w:color="000000" w:fill="FFFFFF"/>
            <w:noWrap/>
            <w:vAlign w:val="center"/>
          </w:tcPr>
          <w:p>
            <w:pPr>
              <w:jc w:val="right"/>
              <w:rPr>
                <w:rFonts w:cs="Arial"/>
                <w:color w:val="000000"/>
                <w:sz w:val="18"/>
                <w:szCs w:val="18"/>
              </w:rPr>
            </w:pPr>
            <w:r>
              <w:rPr>
                <w:rFonts w:hint="eastAsia" w:cs="Arial"/>
                <w:color w:val="000000"/>
                <w:sz w:val="18"/>
                <w:szCs w:val="18"/>
              </w:rPr>
              <w:t>公开06表</w:t>
            </w:r>
          </w:p>
        </w:tc>
      </w:tr>
      <w:tr>
        <w:tblPrEx>
          <w:tblCellMar>
            <w:top w:w="0" w:type="dxa"/>
            <w:left w:w="108" w:type="dxa"/>
            <w:bottom w:w="0" w:type="dxa"/>
            <w:right w:w="108" w:type="dxa"/>
          </w:tblCellMar>
        </w:tblPrEx>
        <w:trPr>
          <w:trHeight w:val="300" w:hRule="atLeast"/>
        </w:trPr>
        <w:tc>
          <w:tcPr>
            <w:tcW w:w="3553" w:type="dxa"/>
            <w:gridSpan w:val="4"/>
            <w:tcBorders>
              <w:top w:val="nil"/>
              <w:left w:val="nil"/>
              <w:bottom w:val="single" w:color="808080" w:sz="4" w:space="0"/>
              <w:right w:val="nil"/>
            </w:tcBorders>
            <w:shd w:val="clear" w:color="000000" w:fill="FFFFFF"/>
            <w:noWrap/>
            <w:vAlign w:val="center"/>
          </w:tcPr>
          <w:p>
            <w:pPr>
              <w:rPr>
                <w:rFonts w:cs="Arial"/>
                <w:color w:val="000000"/>
                <w:sz w:val="20"/>
                <w:szCs w:val="20"/>
              </w:rPr>
            </w:pPr>
            <w:r>
              <w:rPr>
                <w:rFonts w:hint="eastAsia" w:cs="Arial"/>
                <w:color w:val="000000"/>
                <w:sz w:val="20"/>
                <w:szCs w:val="20"/>
              </w:rPr>
              <w:t>部门：常德市武陵区人民检察院</w:t>
            </w:r>
          </w:p>
        </w:tc>
        <w:tc>
          <w:tcPr>
            <w:tcW w:w="983" w:type="dxa"/>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662" w:type="dxa"/>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2060" w:type="dxa"/>
            <w:gridSpan w:val="2"/>
            <w:tcBorders>
              <w:top w:val="nil"/>
              <w:left w:val="nil"/>
              <w:bottom w:val="single" w:color="808080" w:sz="4" w:space="0"/>
              <w:right w:val="nil"/>
            </w:tcBorders>
            <w:shd w:val="clear" w:color="000000" w:fill="FFFFFF"/>
            <w:noWrap/>
            <w:vAlign w:val="center"/>
          </w:tcPr>
          <w:p>
            <w:pPr>
              <w:jc w:val="center"/>
              <w:rPr>
                <w:rFonts w:cs="Arial"/>
                <w:color w:val="000000"/>
                <w:sz w:val="22"/>
                <w:szCs w:val="22"/>
              </w:rPr>
            </w:pPr>
            <w:r>
              <w:rPr>
                <w:rFonts w:hint="eastAsia" w:cs="Arial"/>
                <w:color w:val="000000"/>
                <w:sz w:val="22"/>
                <w:szCs w:val="22"/>
              </w:rPr>
              <w:t>　</w:t>
            </w:r>
          </w:p>
        </w:tc>
        <w:tc>
          <w:tcPr>
            <w:tcW w:w="769" w:type="dxa"/>
            <w:gridSpan w:val="2"/>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1045" w:type="dxa"/>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2977" w:type="dxa"/>
            <w:gridSpan w:val="2"/>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1559" w:type="dxa"/>
            <w:gridSpan w:val="2"/>
            <w:tcBorders>
              <w:top w:val="nil"/>
              <w:left w:val="nil"/>
              <w:bottom w:val="single" w:color="808080" w:sz="4" w:space="0"/>
              <w:right w:val="single" w:color="808080" w:sz="4" w:space="0"/>
            </w:tcBorders>
            <w:shd w:val="clear" w:color="000000" w:fill="FFFFFF"/>
            <w:noWrap/>
            <w:vAlign w:val="center"/>
          </w:tcPr>
          <w:p>
            <w:pPr>
              <w:jc w:val="right"/>
              <w:rPr>
                <w:rFonts w:cs="Arial"/>
                <w:color w:val="000000"/>
                <w:sz w:val="18"/>
                <w:szCs w:val="18"/>
              </w:rPr>
            </w:pPr>
            <w:r>
              <w:rPr>
                <w:rFonts w:hint="eastAsia" w:cs="Arial"/>
                <w:color w:val="000000"/>
                <w:sz w:val="18"/>
                <w:szCs w:val="18"/>
              </w:rPr>
              <w:t>金额单位：万元</w:t>
            </w:r>
          </w:p>
        </w:tc>
      </w:tr>
      <w:tr>
        <w:tblPrEx>
          <w:tblCellMar>
            <w:top w:w="0" w:type="dxa"/>
            <w:left w:w="108" w:type="dxa"/>
            <w:bottom w:w="0" w:type="dxa"/>
            <w:right w:w="108" w:type="dxa"/>
          </w:tblCellMar>
        </w:tblPrEx>
        <w:trPr>
          <w:trHeight w:val="300" w:hRule="atLeast"/>
        </w:trPr>
        <w:tc>
          <w:tcPr>
            <w:tcW w:w="4536" w:type="dxa"/>
            <w:gridSpan w:val="5"/>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人员经费</w:t>
            </w:r>
          </w:p>
        </w:tc>
        <w:tc>
          <w:tcPr>
            <w:tcW w:w="9072" w:type="dxa"/>
            <w:gridSpan w:val="10"/>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公用经费</w:t>
            </w:r>
          </w:p>
        </w:tc>
      </w:tr>
      <w:tr>
        <w:tblPrEx>
          <w:tblCellMar>
            <w:top w:w="0" w:type="dxa"/>
            <w:left w:w="108" w:type="dxa"/>
            <w:bottom w:w="0" w:type="dxa"/>
            <w:right w:w="108" w:type="dxa"/>
          </w:tblCellMar>
        </w:tblPrEx>
        <w:trPr>
          <w:trHeight w:val="300" w:hRule="atLeast"/>
        </w:trPr>
        <w:tc>
          <w:tcPr>
            <w:tcW w:w="1134" w:type="dxa"/>
            <w:gridSpan w:val="2"/>
            <w:vMerge w:val="restart"/>
            <w:tcBorders>
              <w:top w:val="nil"/>
              <w:left w:val="single" w:color="000000" w:sz="4" w:space="0"/>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科目编码</w:t>
            </w:r>
          </w:p>
        </w:tc>
        <w:tc>
          <w:tcPr>
            <w:tcW w:w="2127" w:type="dxa"/>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科目名称</w:t>
            </w:r>
          </w:p>
        </w:tc>
        <w:tc>
          <w:tcPr>
            <w:tcW w:w="1275"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决算数</w:t>
            </w:r>
          </w:p>
        </w:tc>
        <w:tc>
          <w:tcPr>
            <w:tcW w:w="1276"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科目编码</w:t>
            </w:r>
          </w:p>
        </w:tc>
        <w:tc>
          <w:tcPr>
            <w:tcW w:w="1985"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科目名称</w:t>
            </w:r>
          </w:p>
        </w:tc>
        <w:tc>
          <w:tcPr>
            <w:tcW w:w="1275"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决算数</w:t>
            </w:r>
          </w:p>
        </w:tc>
        <w:tc>
          <w:tcPr>
            <w:tcW w:w="1134" w:type="dxa"/>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科目编码</w:t>
            </w:r>
          </w:p>
        </w:tc>
        <w:tc>
          <w:tcPr>
            <w:tcW w:w="1985" w:type="dxa"/>
            <w:gridSpan w:val="2"/>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科目名称</w:t>
            </w:r>
          </w:p>
        </w:tc>
        <w:tc>
          <w:tcPr>
            <w:tcW w:w="1417" w:type="dxa"/>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决算数</w:t>
            </w:r>
          </w:p>
        </w:tc>
      </w:tr>
      <w:tr>
        <w:tblPrEx>
          <w:tblCellMar>
            <w:top w:w="0" w:type="dxa"/>
            <w:left w:w="108" w:type="dxa"/>
            <w:bottom w:w="0" w:type="dxa"/>
            <w:right w:w="108" w:type="dxa"/>
          </w:tblCellMar>
        </w:tblPrEx>
        <w:trPr>
          <w:trHeight w:val="300" w:hRule="atLeast"/>
        </w:trPr>
        <w:tc>
          <w:tcPr>
            <w:tcW w:w="1134" w:type="dxa"/>
            <w:gridSpan w:val="2"/>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2127"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275"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276"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985"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275"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134" w:type="dxa"/>
            <w:vMerge w:val="continue"/>
            <w:tcBorders>
              <w:top w:val="nil"/>
              <w:left w:val="nil"/>
              <w:bottom w:val="single" w:color="000000" w:sz="4" w:space="0"/>
              <w:right w:val="single" w:color="000000" w:sz="4" w:space="0"/>
            </w:tcBorders>
            <w:vAlign w:val="center"/>
          </w:tcPr>
          <w:p>
            <w:pPr>
              <w:rPr>
                <w:rFonts w:cs="Arial"/>
                <w:sz w:val="20"/>
                <w:szCs w:val="20"/>
              </w:rPr>
            </w:pPr>
          </w:p>
        </w:tc>
        <w:tc>
          <w:tcPr>
            <w:tcW w:w="1985" w:type="dxa"/>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1417" w:type="dxa"/>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466" w:hRule="atLeast"/>
        </w:trPr>
        <w:tc>
          <w:tcPr>
            <w:tcW w:w="1134" w:type="dxa"/>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301</w:t>
            </w:r>
          </w:p>
        </w:tc>
        <w:tc>
          <w:tcPr>
            <w:tcW w:w="2127"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工资福利支出</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1,195.53</w:t>
            </w:r>
          </w:p>
        </w:tc>
        <w:tc>
          <w:tcPr>
            <w:tcW w:w="1276"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商品和服务支出</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468.04</w:t>
            </w:r>
          </w:p>
        </w:tc>
        <w:tc>
          <w:tcPr>
            <w:tcW w:w="1134"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307</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债务利息及费用支出</w:t>
            </w:r>
          </w:p>
        </w:tc>
        <w:tc>
          <w:tcPr>
            <w:tcW w:w="141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134" w:type="dxa"/>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30101</w:t>
            </w:r>
          </w:p>
        </w:tc>
        <w:tc>
          <w:tcPr>
            <w:tcW w:w="2127"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基本工资</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273.78</w:t>
            </w:r>
          </w:p>
        </w:tc>
        <w:tc>
          <w:tcPr>
            <w:tcW w:w="1276"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30201</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办公费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61.02</w:t>
            </w:r>
          </w:p>
        </w:tc>
        <w:tc>
          <w:tcPr>
            <w:tcW w:w="1134"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30701</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国内债务付息</w:t>
            </w:r>
          </w:p>
        </w:tc>
        <w:tc>
          <w:tcPr>
            <w:tcW w:w="141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134" w:type="dxa"/>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30102</w:t>
            </w:r>
          </w:p>
        </w:tc>
        <w:tc>
          <w:tcPr>
            <w:tcW w:w="2127"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津贴补贴</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210.91</w:t>
            </w:r>
          </w:p>
        </w:tc>
        <w:tc>
          <w:tcPr>
            <w:tcW w:w="1276"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30202</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印刷费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14.21</w:t>
            </w:r>
          </w:p>
        </w:tc>
        <w:tc>
          <w:tcPr>
            <w:tcW w:w="1134"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30702</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国外债务付息</w:t>
            </w:r>
          </w:p>
        </w:tc>
        <w:tc>
          <w:tcPr>
            <w:tcW w:w="141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134" w:type="dxa"/>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30103</w:t>
            </w:r>
          </w:p>
        </w:tc>
        <w:tc>
          <w:tcPr>
            <w:tcW w:w="2127"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奖金</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213.92</w:t>
            </w:r>
          </w:p>
        </w:tc>
        <w:tc>
          <w:tcPr>
            <w:tcW w:w="1276"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30203</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咨询费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134"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310</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资本性支出</w:t>
            </w:r>
          </w:p>
        </w:tc>
        <w:tc>
          <w:tcPr>
            <w:tcW w:w="141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134" w:type="dxa"/>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30106</w:t>
            </w:r>
          </w:p>
        </w:tc>
        <w:tc>
          <w:tcPr>
            <w:tcW w:w="2127"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伙食补助费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276"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30204</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手续费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134"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31001</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房屋建筑物购建</w:t>
            </w:r>
          </w:p>
        </w:tc>
        <w:tc>
          <w:tcPr>
            <w:tcW w:w="141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134" w:type="dxa"/>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30107</w:t>
            </w:r>
          </w:p>
        </w:tc>
        <w:tc>
          <w:tcPr>
            <w:tcW w:w="2127"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绩效工资</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276"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30205</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水费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1.16</w:t>
            </w:r>
          </w:p>
        </w:tc>
        <w:tc>
          <w:tcPr>
            <w:tcW w:w="1134"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31002</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办公设备购置</w:t>
            </w:r>
          </w:p>
        </w:tc>
        <w:tc>
          <w:tcPr>
            <w:tcW w:w="141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134" w:type="dxa"/>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30108</w:t>
            </w:r>
          </w:p>
        </w:tc>
        <w:tc>
          <w:tcPr>
            <w:tcW w:w="2127"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机关事业单位基本养老保险缴费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77.00</w:t>
            </w:r>
          </w:p>
        </w:tc>
        <w:tc>
          <w:tcPr>
            <w:tcW w:w="1276"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30206</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电费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32.02</w:t>
            </w:r>
          </w:p>
        </w:tc>
        <w:tc>
          <w:tcPr>
            <w:tcW w:w="1134"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31003</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专用设备购置</w:t>
            </w:r>
          </w:p>
        </w:tc>
        <w:tc>
          <w:tcPr>
            <w:tcW w:w="141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134" w:type="dxa"/>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30109</w:t>
            </w:r>
          </w:p>
        </w:tc>
        <w:tc>
          <w:tcPr>
            <w:tcW w:w="2127"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职业年金缴费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276"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30207</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邮电费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20.92</w:t>
            </w:r>
          </w:p>
        </w:tc>
        <w:tc>
          <w:tcPr>
            <w:tcW w:w="1134"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31005</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基础设施建设</w:t>
            </w:r>
          </w:p>
        </w:tc>
        <w:tc>
          <w:tcPr>
            <w:tcW w:w="141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134" w:type="dxa"/>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30110</w:t>
            </w:r>
          </w:p>
        </w:tc>
        <w:tc>
          <w:tcPr>
            <w:tcW w:w="2127"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职工基本医疗保险缴费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39.45</w:t>
            </w:r>
          </w:p>
        </w:tc>
        <w:tc>
          <w:tcPr>
            <w:tcW w:w="1276"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30208</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取暖费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134"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31006</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大型修缮</w:t>
            </w:r>
          </w:p>
        </w:tc>
        <w:tc>
          <w:tcPr>
            <w:tcW w:w="141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134" w:type="dxa"/>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30111</w:t>
            </w:r>
          </w:p>
        </w:tc>
        <w:tc>
          <w:tcPr>
            <w:tcW w:w="2127"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公务员医疗补助缴费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276"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30209</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物业管理费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44.98</w:t>
            </w:r>
          </w:p>
        </w:tc>
        <w:tc>
          <w:tcPr>
            <w:tcW w:w="1134"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31007</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信息网络及软件购置更新</w:t>
            </w:r>
          </w:p>
        </w:tc>
        <w:tc>
          <w:tcPr>
            <w:tcW w:w="141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134" w:type="dxa"/>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30112</w:t>
            </w:r>
          </w:p>
        </w:tc>
        <w:tc>
          <w:tcPr>
            <w:tcW w:w="2127"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其他社会保障缴费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9.81</w:t>
            </w:r>
          </w:p>
        </w:tc>
        <w:tc>
          <w:tcPr>
            <w:tcW w:w="1276"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30211</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差旅费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10.54</w:t>
            </w:r>
          </w:p>
        </w:tc>
        <w:tc>
          <w:tcPr>
            <w:tcW w:w="1134"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31008</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物资储备</w:t>
            </w:r>
          </w:p>
        </w:tc>
        <w:tc>
          <w:tcPr>
            <w:tcW w:w="141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134" w:type="dxa"/>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30113</w:t>
            </w:r>
          </w:p>
        </w:tc>
        <w:tc>
          <w:tcPr>
            <w:tcW w:w="2127"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住房公积金</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184.24</w:t>
            </w:r>
          </w:p>
        </w:tc>
        <w:tc>
          <w:tcPr>
            <w:tcW w:w="1276"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30212</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因公出国（境）费用</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134"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31009</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土地补偿</w:t>
            </w:r>
          </w:p>
        </w:tc>
        <w:tc>
          <w:tcPr>
            <w:tcW w:w="141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134" w:type="dxa"/>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30114</w:t>
            </w:r>
          </w:p>
        </w:tc>
        <w:tc>
          <w:tcPr>
            <w:tcW w:w="2127"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医疗费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276"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30213</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维修（护）费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54.85</w:t>
            </w:r>
          </w:p>
        </w:tc>
        <w:tc>
          <w:tcPr>
            <w:tcW w:w="1134"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31010</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安置补助</w:t>
            </w:r>
          </w:p>
        </w:tc>
        <w:tc>
          <w:tcPr>
            <w:tcW w:w="141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134" w:type="dxa"/>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30199</w:t>
            </w:r>
          </w:p>
        </w:tc>
        <w:tc>
          <w:tcPr>
            <w:tcW w:w="2127"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其他工资福利支出</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186.43</w:t>
            </w:r>
          </w:p>
        </w:tc>
        <w:tc>
          <w:tcPr>
            <w:tcW w:w="1276"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30214</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租赁费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134"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31011</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地上附着物和青苗补偿</w:t>
            </w:r>
          </w:p>
        </w:tc>
        <w:tc>
          <w:tcPr>
            <w:tcW w:w="141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134" w:type="dxa"/>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303</w:t>
            </w:r>
          </w:p>
        </w:tc>
        <w:tc>
          <w:tcPr>
            <w:tcW w:w="2127"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对个人和家庭的补助</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32.54</w:t>
            </w:r>
          </w:p>
        </w:tc>
        <w:tc>
          <w:tcPr>
            <w:tcW w:w="1276"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30215</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会议费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134"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31012</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拆迁补偿</w:t>
            </w:r>
          </w:p>
        </w:tc>
        <w:tc>
          <w:tcPr>
            <w:tcW w:w="141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134" w:type="dxa"/>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30301</w:t>
            </w:r>
          </w:p>
        </w:tc>
        <w:tc>
          <w:tcPr>
            <w:tcW w:w="2127"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离休费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11.68</w:t>
            </w:r>
          </w:p>
        </w:tc>
        <w:tc>
          <w:tcPr>
            <w:tcW w:w="1276"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30216</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培训费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134"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31013</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公务用车购置</w:t>
            </w:r>
          </w:p>
        </w:tc>
        <w:tc>
          <w:tcPr>
            <w:tcW w:w="141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134" w:type="dxa"/>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30302</w:t>
            </w:r>
          </w:p>
        </w:tc>
        <w:tc>
          <w:tcPr>
            <w:tcW w:w="2127"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退休费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276"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30217</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公务接待费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5.98</w:t>
            </w:r>
          </w:p>
        </w:tc>
        <w:tc>
          <w:tcPr>
            <w:tcW w:w="1134"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31019</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其他交通工具购置</w:t>
            </w:r>
          </w:p>
        </w:tc>
        <w:tc>
          <w:tcPr>
            <w:tcW w:w="141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134" w:type="dxa"/>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30303</w:t>
            </w:r>
          </w:p>
        </w:tc>
        <w:tc>
          <w:tcPr>
            <w:tcW w:w="2127"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退职（役）费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276"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30218</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专用材料费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134"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31021</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文物和陈列品购置</w:t>
            </w:r>
          </w:p>
        </w:tc>
        <w:tc>
          <w:tcPr>
            <w:tcW w:w="141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134" w:type="dxa"/>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30304</w:t>
            </w:r>
          </w:p>
        </w:tc>
        <w:tc>
          <w:tcPr>
            <w:tcW w:w="2127"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抚恤金</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19.71</w:t>
            </w:r>
          </w:p>
        </w:tc>
        <w:tc>
          <w:tcPr>
            <w:tcW w:w="1276"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30224</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被装购置费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134"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31022</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无形资产购置</w:t>
            </w:r>
          </w:p>
        </w:tc>
        <w:tc>
          <w:tcPr>
            <w:tcW w:w="141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134" w:type="dxa"/>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30305</w:t>
            </w:r>
          </w:p>
        </w:tc>
        <w:tc>
          <w:tcPr>
            <w:tcW w:w="2127"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生活补助</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276"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30225</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专用燃料费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134"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31099</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其他资本性支出</w:t>
            </w:r>
          </w:p>
        </w:tc>
        <w:tc>
          <w:tcPr>
            <w:tcW w:w="141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134" w:type="dxa"/>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30306</w:t>
            </w:r>
          </w:p>
        </w:tc>
        <w:tc>
          <w:tcPr>
            <w:tcW w:w="2127"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救济费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276"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30226</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劳务费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85.61</w:t>
            </w:r>
          </w:p>
        </w:tc>
        <w:tc>
          <w:tcPr>
            <w:tcW w:w="1134"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399</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其他支出</w:t>
            </w:r>
          </w:p>
        </w:tc>
        <w:tc>
          <w:tcPr>
            <w:tcW w:w="141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134" w:type="dxa"/>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30307</w:t>
            </w:r>
          </w:p>
        </w:tc>
        <w:tc>
          <w:tcPr>
            <w:tcW w:w="2127"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医疗费补助</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276"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30227</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委托业务费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134"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39906</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赠与</w:t>
            </w:r>
          </w:p>
        </w:tc>
        <w:tc>
          <w:tcPr>
            <w:tcW w:w="141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134" w:type="dxa"/>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30308</w:t>
            </w:r>
          </w:p>
        </w:tc>
        <w:tc>
          <w:tcPr>
            <w:tcW w:w="2127"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助学金</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276"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30228</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工会经费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26.37</w:t>
            </w:r>
          </w:p>
        </w:tc>
        <w:tc>
          <w:tcPr>
            <w:tcW w:w="1134"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39907</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国家赔偿费用支出</w:t>
            </w:r>
          </w:p>
        </w:tc>
        <w:tc>
          <w:tcPr>
            <w:tcW w:w="141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134" w:type="dxa"/>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30309</w:t>
            </w:r>
          </w:p>
        </w:tc>
        <w:tc>
          <w:tcPr>
            <w:tcW w:w="2127"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奖励金</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0.14</w:t>
            </w:r>
          </w:p>
        </w:tc>
        <w:tc>
          <w:tcPr>
            <w:tcW w:w="1276"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30229</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福利费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19.06</w:t>
            </w:r>
          </w:p>
        </w:tc>
        <w:tc>
          <w:tcPr>
            <w:tcW w:w="1134"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39908</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对民间非营利组织和群众性自治组织补贴</w:t>
            </w:r>
          </w:p>
        </w:tc>
        <w:tc>
          <w:tcPr>
            <w:tcW w:w="141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134" w:type="dxa"/>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30310</w:t>
            </w:r>
          </w:p>
        </w:tc>
        <w:tc>
          <w:tcPr>
            <w:tcW w:w="2127"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个人农业生产补贴</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276"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30231</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公务用车运行维护费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13.00</w:t>
            </w:r>
          </w:p>
        </w:tc>
        <w:tc>
          <w:tcPr>
            <w:tcW w:w="1134"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39999</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其他支出</w:t>
            </w:r>
          </w:p>
        </w:tc>
        <w:tc>
          <w:tcPr>
            <w:tcW w:w="141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134" w:type="dxa"/>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30311</w:t>
            </w:r>
          </w:p>
        </w:tc>
        <w:tc>
          <w:tcPr>
            <w:tcW w:w="2127"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代缴社会保险费</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276"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30239</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其他交通费用</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52.00</w:t>
            </w:r>
          </w:p>
        </w:tc>
        <w:tc>
          <w:tcPr>
            <w:tcW w:w="1134"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141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134" w:type="dxa"/>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30399</w:t>
            </w:r>
          </w:p>
        </w:tc>
        <w:tc>
          <w:tcPr>
            <w:tcW w:w="2127"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其他对个人和家庭的补助</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1.00</w:t>
            </w:r>
          </w:p>
        </w:tc>
        <w:tc>
          <w:tcPr>
            <w:tcW w:w="1276"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30240</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税金及附加费用</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1134"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141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134" w:type="dxa"/>
            <w:gridSpan w:val="2"/>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2127"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1276"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30299</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xml:space="preserve">  其他商品和服务支出</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26.32</w:t>
            </w:r>
          </w:p>
        </w:tc>
        <w:tc>
          <w:tcPr>
            <w:tcW w:w="1134" w:type="dxa"/>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1985" w:type="dxa"/>
            <w:gridSpan w:val="2"/>
            <w:tcBorders>
              <w:top w:val="nil"/>
              <w:left w:val="nil"/>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　</w:t>
            </w:r>
          </w:p>
        </w:tc>
        <w:tc>
          <w:tcPr>
            <w:tcW w:w="141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3261" w:type="dxa"/>
            <w:gridSpan w:val="3"/>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人员经费合计</w:t>
            </w:r>
          </w:p>
        </w:tc>
        <w:tc>
          <w:tcPr>
            <w:tcW w:w="1275" w:type="dxa"/>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1,228.07</w:t>
            </w:r>
          </w:p>
        </w:tc>
        <w:tc>
          <w:tcPr>
            <w:tcW w:w="7655" w:type="dxa"/>
            <w:gridSpan w:val="9"/>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公用经费合计</w:t>
            </w:r>
          </w:p>
        </w:tc>
        <w:tc>
          <w:tcPr>
            <w:tcW w:w="1417" w:type="dxa"/>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468.04</w:t>
            </w:r>
          </w:p>
        </w:tc>
      </w:tr>
      <w:tr>
        <w:tblPrEx>
          <w:tblCellMar>
            <w:top w:w="0" w:type="dxa"/>
            <w:left w:w="108" w:type="dxa"/>
            <w:bottom w:w="0" w:type="dxa"/>
            <w:right w:w="108" w:type="dxa"/>
          </w:tblCellMar>
        </w:tblPrEx>
        <w:trPr>
          <w:trHeight w:val="300" w:hRule="atLeast"/>
        </w:trPr>
        <w:tc>
          <w:tcPr>
            <w:tcW w:w="13608" w:type="dxa"/>
            <w:gridSpan w:val="15"/>
            <w:tcBorders>
              <w:top w:val="nil"/>
              <w:left w:val="nil"/>
              <w:bottom w:val="nil"/>
              <w:right w:val="nil"/>
            </w:tcBorders>
            <w:shd w:val="clear" w:color="000000" w:fill="FFFFFF"/>
            <w:noWrap/>
            <w:vAlign w:val="center"/>
          </w:tcPr>
          <w:p>
            <w:pPr>
              <w:rPr>
                <w:rFonts w:cs="Arial"/>
                <w:sz w:val="20"/>
                <w:szCs w:val="20"/>
              </w:rPr>
            </w:pPr>
            <w:r>
              <w:rPr>
                <w:rFonts w:hint="eastAsia" w:cs="Arial"/>
                <w:sz w:val="20"/>
                <w:szCs w:val="20"/>
              </w:rPr>
              <w:t>注：本表反映部门本年度一般公共预算财政拨款基本支出明细情况。</w:t>
            </w:r>
          </w:p>
        </w:tc>
      </w:tr>
    </w:tbl>
    <w:p>
      <w:pPr>
        <w:pStyle w:val="13"/>
        <w:spacing w:before="0" w:beforeAutospacing="0"/>
        <w:outlineLvl w:val="1"/>
        <w:rPr>
          <w:shd w:val="clear" w:color="auto" w:fill="FFFFFF"/>
        </w:rPr>
        <w:sectPr>
          <w:pgSz w:w="16851" w:h="11915" w:orient="landscape"/>
          <w:pgMar w:top="1800" w:right="1731" w:bottom="1800" w:left="1440" w:header="851" w:footer="992" w:gutter="0"/>
          <w:cols w:space="720" w:num="1"/>
          <w:docGrid w:type="lines" w:linePitch="312" w:charSpace="0"/>
        </w:sectPr>
      </w:pPr>
    </w:p>
    <w:p>
      <w:pPr>
        <w:pStyle w:val="13"/>
        <w:spacing w:before="0" w:beforeAutospacing="0"/>
        <w:ind w:firstLine="480" w:firstLineChars="150"/>
        <w:outlineLvl w:val="1"/>
        <w:rPr>
          <w:rFonts w:ascii="楷体_GB2312" w:hAnsi="楷体" w:eastAsia="楷体_GB2312" w:cs="楷体"/>
          <w:sz w:val="32"/>
          <w:szCs w:val="32"/>
          <w:shd w:val="clear" w:color="auto" w:fill="FFFFFF"/>
        </w:rPr>
      </w:pPr>
      <w:bookmarkStart w:id="12" w:name="_Toc15088"/>
      <w:r>
        <w:rPr>
          <w:rFonts w:hint="eastAsia" w:ascii="楷体_GB2312" w:hAnsi="楷体" w:eastAsia="楷体_GB2312" w:cs="楷体"/>
          <w:sz w:val="32"/>
          <w:szCs w:val="32"/>
          <w:shd w:val="clear" w:color="auto" w:fill="FFFFFF"/>
        </w:rPr>
        <w:t>七、一般公共预算财政拨款“三公”经费支出决算表</w:t>
      </w:r>
      <w:bookmarkEnd w:id="12"/>
    </w:p>
    <w:tbl>
      <w:tblPr>
        <w:tblStyle w:val="14"/>
        <w:tblW w:w="0" w:type="auto"/>
        <w:tblInd w:w="93" w:type="dxa"/>
        <w:tblLayout w:type="autofit"/>
        <w:tblCellMar>
          <w:top w:w="0" w:type="dxa"/>
          <w:left w:w="108" w:type="dxa"/>
          <w:bottom w:w="0" w:type="dxa"/>
          <w:right w:w="108" w:type="dxa"/>
        </w:tblCellMar>
      </w:tblPr>
      <w:tblGrid>
        <w:gridCol w:w="908"/>
        <w:gridCol w:w="1761"/>
        <w:gridCol w:w="908"/>
        <w:gridCol w:w="1040"/>
        <w:gridCol w:w="1107"/>
        <w:gridCol w:w="1242"/>
        <w:gridCol w:w="757"/>
        <w:gridCol w:w="1252"/>
        <w:gridCol w:w="757"/>
        <w:gridCol w:w="1107"/>
        <w:gridCol w:w="1107"/>
        <w:gridCol w:w="1857"/>
      </w:tblGrid>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000000" w:fill="FFFFFF"/>
            <w:noWrap/>
            <w:vAlign w:val="center"/>
          </w:tcPr>
          <w:p>
            <w:pPr>
              <w:rPr>
                <w:rFonts w:cs="Arial"/>
                <w:sz w:val="22"/>
                <w:szCs w:val="22"/>
              </w:rPr>
            </w:pPr>
          </w:p>
        </w:tc>
        <w:tc>
          <w:tcPr>
            <w:tcW w:w="0" w:type="auto"/>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nil"/>
              <w:right w:val="single" w:color="808080" w:sz="4" w:space="0"/>
            </w:tcBorders>
            <w:shd w:val="clear" w:color="000000" w:fill="FFFFFF"/>
            <w:noWrap/>
            <w:vAlign w:val="center"/>
          </w:tcPr>
          <w:p>
            <w:pPr>
              <w:jc w:val="right"/>
              <w:rPr>
                <w:rFonts w:cs="Arial"/>
                <w:sz w:val="22"/>
                <w:szCs w:val="22"/>
              </w:rPr>
            </w:pPr>
            <w:r>
              <w:rPr>
                <w:rFonts w:hint="eastAsia" w:cs="Arial"/>
                <w:sz w:val="22"/>
                <w:szCs w:val="22"/>
              </w:rPr>
              <w:t>公开07表</w:t>
            </w:r>
          </w:p>
        </w:tc>
      </w:tr>
      <w:tr>
        <w:tblPrEx>
          <w:tblCellMar>
            <w:top w:w="0" w:type="dxa"/>
            <w:left w:w="108" w:type="dxa"/>
            <w:bottom w:w="0" w:type="dxa"/>
            <w:right w:w="108" w:type="dxa"/>
          </w:tblCellMar>
        </w:tblPrEx>
        <w:trPr>
          <w:trHeight w:val="300" w:hRule="atLeast"/>
        </w:trPr>
        <w:tc>
          <w:tcPr>
            <w:tcW w:w="0" w:type="auto"/>
            <w:gridSpan w:val="3"/>
            <w:tcBorders>
              <w:top w:val="nil"/>
              <w:left w:val="nil"/>
              <w:bottom w:val="single" w:color="808080" w:sz="4" w:space="0"/>
              <w:right w:val="nil"/>
            </w:tcBorders>
            <w:shd w:val="clear" w:color="000000" w:fill="FFFFFF"/>
            <w:noWrap/>
            <w:vAlign w:val="center"/>
          </w:tcPr>
          <w:p>
            <w:pPr>
              <w:rPr>
                <w:rFonts w:cs="Arial"/>
                <w:sz w:val="22"/>
                <w:szCs w:val="22"/>
              </w:rPr>
            </w:pPr>
            <w:r>
              <w:rPr>
                <w:rFonts w:hint="eastAsia" w:cs="Arial"/>
                <w:sz w:val="22"/>
                <w:szCs w:val="22"/>
              </w:rPr>
              <w:t>部门：常德市武陵区人民检察院</w:t>
            </w:r>
          </w:p>
        </w:tc>
        <w:tc>
          <w:tcPr>
            <w:tcW w:w="0" w:type="auto"/>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single" w:color="808080" w:sz="4" w:space="0"/>
              <w:right w:val="nil"/>
            </w:tcBorders>
            <w:shd w:val="clear" w:color="000000" w:fill="FFFFFF"/>
            <w:noWrap/>
            <w:vAlign w:val="center"/>
          </w:tcPr>
          <w:p>
            <w:pPr>
              <w:jc w:val="center"/>
              <w:rPr>
                <w:rFonts w:cs="Arial"/>
                <w:sz w:val="22"/>
                <w:szCs w:val="22"/>
              </w:rPr>
            </w:pPr>
            <w:r>
              <w:rPr>
                <w:rFonts w:hint="eastAsia" w:cs="Arial"/>
                <w:sz w:val="22"/>
                <w:szCs w:val="22"/>
              </w:rPr>
              <w:t>20</w:t>
            </w:r>
            <w:r>
              <w:rPr>
                <w:rFonts w:hint="eastAsia" w:cs="Arial"/>
                <w:sz w:val="22"/>
                <w:szCs w:val="22"/>
                <w:lang w:val="en-US" w:eastAsia="zh-CN"/>
              </w:rPr>
              <w:t>2</w:t>
            </w:r>
            <w:r>
              <w:rPr>
                <w:rFonts w:hint="eastAsia" w:cs="Arial"/>
                <w:sz w:val="22"/>
                <w:szCs w:val="22"/>
              </w:rPr>
              <w:t>0年度</w:t>
            </w:r>
          </w:p>
        </w:tc>
        <w:tc>
          <w:tcPr>
            <w:tcW w:w="0" w:type="auto"/>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0" w:type="auto"/>
            <w:tcBorders>
              <w:top w:val="nil"/>
              <w:left w:val="nil"/>
              <w:bottom w:val="single" w:color="808080" w:sz="4" w:space="0"/>
              <w:right w:val="single" w:color="808080" w:sz="4" w:space="0"/>
            </w:tcBorders>
            <w:shd w:val="clear" w:color="000000" w:fill="FFFFFF"/>
            <w:noWrap/>
            <w:vAlign w:val="center"/>
          </w:tcPr>
          <w:p>
            <w:pPr>
              <w:jc w:val="right"/>
              <w:rPr>
                <w:rFonts w:cs="Arial"/>
                <w:sz w:val="22"/>
                <w:szCs w:val="22"/>
              </w:rPr>
            </w:pPr>
            <w:r>
              <w:rPr>
                <w:rFonts w:hint="eastAsia" w:cs="Arial"/>
                <w:sz w:val="22"/>
                <w:szCs w:val="22"/>
              </w:rPr>
              <w:t>金额单位：万元</w:t>
            </w:r>
          </w:p>
        </w:tc>
      </w:tr>
      <w:tr>
        <w:tblPrEx>
          <w:tblCellMar>
            <w:top w:w="0" w:type="dxa"/>
            <w:left w:w="108" w:type="dxa"/>
            <w:bottom w:w="0" w:type="dxa"/>
            <w:right w:w="108" w:type="dxa"/>
          </w:tblCellMar>
        </w:tblPrEx>
        <w:trPr>
          <w:trHeight w:val="300" w:hRule="atLeast"/>
        </w:trPr>
        <w:tc>
          <w:tcPr>
            <w:tcW w:w="0" w:type="auto"/>
            <w:gridSpan w:val="6"/>
            <w:tcBorders>
              <w:top w:val="nil"/>
              <w:left w:val="single" w:color="000000" w:sz="4" w:space="0"/>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预算数</w:t>
            </w:r>
          </w:p>
        </w:tc>
        <w:tc>
          <w:tcPr>
            <w:tcW w:w="0" w:type="auto"/>
            <w:gridSpan w:val="6"/>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决算数</w:t>
            </w:r>
          </w:p>
        </w:tc>
      </w:tr>
      <w:tr>
        <w:tblPrEx>
          <w:tblCellMar>
            <w:top w:w="0" w:type="dxa"/>
            <w:left w:w="108" w:type="dxa"/>
            <w:bottom w:w="0" w:type="dxa"/>
            <w:right w:w="108" w:type="dxa"/>
          </w:tblCellMar>
        </w:tblPrEx>
        <w:trPr>
          <w:trHeight w:val="300" w:hRule="atLeast"/>
        </w:trPr>
        <w:tc>
          <w:tcPr>
            <w:tcW w:w="0" w:type="auto"/>
            <w:vMerge w:val="restart"/>
            <w:tcBorders>
              <w:top w:val="nil"/>
              <w:left w:val="single" w:color="000000" w:sz="4" w:space="0"/>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合计</w:t>
            </w:r>
          </w:p>
        </w:tc>
        <w:tc>
          <w:tcPr>
            <w:tcW w:w="0" w:type="auto"/>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因公出国（境）费</w:t>
            </w:r>
          </w:p>
        </w:tc>
        <w:tc>
          <w:tcPr>
            <w:tcW w:w="0" w:type="auto"/>
            <w:gridSpan w:val="3"/>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公务用车购置及运行费</w:t>
            </w:r>
          </w:p>
        </w:tc>
        <w:tc>
          <w:tcPr>
            <w:tcW w:w="0" w:type="auto"/>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公务接待费</w:t>
            </w:r>
          </w:p>
        </w:tc>
        <w:tc>
          <w:tcPr>
            <w:tcW w:w="0" w:type="auto"/>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合计</w:t>
            </w:r>
          </w:p>
        </w:tc>
        <w:tc>
          <w:tcPr>
            <w:tcW w:w="0" w:type="auto"/>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因公出国（境）费</w:t>
            </w:r>
          </w:p>
        </w:tc>
        <w:tc>
          <w:tcPr>
            <w:tcW w:w="0" w:type="auto"/>
            <w:gridSpan w:val="3"/>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公务用车购置及运行费</w:t>
            </w:r>
          </w:p>
        </w:tc>
        <w:tc>
          <w:tcPr>
            <w:tcW w:w="0" w:type="auto"/>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公务接待费</w:t>
            </w:r>
          </w:p>
        </w:tc>
      </w:tr>
      <w:tr>
        <w:tblPrEx>
          <w:tblCellMar>
            <w:top w:w="0" w:type="dxa"/>
            <w:left w:w="108" w:type="dxa"/>
            <w:bottom w:w="0" w:type="dxa"/>
            <w:right w:w="108" w:type="dxa"/>
          </w:tblCellMar>
        </w:tblPrEx>
        <w:trPr>
          <w:trHeight w:val="600" w:hRule="atLeast"/>
        </w:trPr>
        <w:tc>
          <w:tcPr>
            <w:tcW w:w="0" w:type="auto"/>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小计</w:t>
            </w:r>
          </w:p>
        </w:tc>
        <w:tc>
          <w:tcPr>
            <w:tcW w:w="0" w:type="auto"/>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公务用车购置费</w:t>
            </w:r>
          </w:p>
        </w:tc>
        <w:tc>
          <w:tcPr>
            <w:tcW w:w="0" w:type="auto"/>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公务用车运行费</w:t>
            </w: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c>
          <w:tcPr>
            <w:tcW w:w="0" w:type="auto"/>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小计</w:t>
            </w:r>
          </w:p>
        </w:tc>
        <w:tc>
          <w:tcPr>
            <w:tcW w:w="0" w:type="auto"/>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公务用车购置费</w:t>
            </w:r>
          </w:p>
        </w:tc>
        <w:tc>
          <w:tcPr>
            <w:tcW w:w="0" w:type="auto"/>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公务用车运行费</w:t>
            </w:r>
          </w:p>
        </w:tc>
        <w:tc>
          <w:tcPr>
            <w:tcW w:w="0" w:type="auto"/>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1</w:t>
            </w:r>
          </w:p>
        </w:tc>
        <w:tc>
          <w:tcPr>
            <w:tcW w:w="0" w:type="auto"/>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2</w:t>
            </w:r>
          </w:p>
        </w:tc>
        <w:tc>
          <w:tcPr>
            <w:tcW w:w="0" w:type="auto"/>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3</w:t>
            </w:r>
          </w:p>
        </w:tc>
        <w:tc>
          <w:tcPr>
            <w:tcW w:w="0" w:type="auto"/>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4</w:t>
            </w:r>
          </w:p>
        </w:tc>
        <w:tc>
          <w:tcPr>
            <w:tcW w:w="0" w:type="auto"/>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5</w:t>
            </w:r>
          </w:p>
        </w:tc>
        <w:tc>
          <w:tcPr>
            <w:tcW w:w="0" w:type="auto"/>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6</w:t>
            </w:r>
          </w:p>
        </w:tc>
        <w:tc>
          <w:tcPr>
            <w:tcW w:w="0" w:type="auto"/>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7</w:t>
            </w:r>
          </w:p>
        </w:tc>
        <w:tc>
          <w:tcPr>
            <w:tcW w:w="0" w:type="auto"/>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8</w:t>
            </w:r>
          </w:p>
        </w:tc>
        <w:tc>
          <w:tcPr>
            <w:tcW w:w="0" w:type="auto"/>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9</w:t>
            </w:r>
          </w:p>
        </w:tc>
        <w:tc>
          <w:tcPr>
            <w:tcW w:w="0" w:type="auto"/>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10</w:t>
            </w:r>
          </w:p>
        </w:tc>
        <w:tc>
          <w:tcPr>
            <w:tcW w:w="0" w:type="auto"/>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11</w:t>
            </w:r>
          </w:p>
        </w:tc>
        <w:tc>
          <w:tcPr>
            <w:tcW w:w="0" w:type="auto"/>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12</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000000" w:fill="00FF00"/>
            <w:noWrap/>
            <w:vAlign w:val="center"/>
          </w:tcPr>
          <w:p>
            <w:pPr>
              <w:jc w:val="right"/>
              <w:rPr>
                <w:rFonts w:cs="Arial"/>
                <w:sz w:val="20"/>
                <w:szCs w:val="20"/>
              </w:rPr>
            </w:pPr>
            <w:r>
              <w:rPr>
                <w:rFonts w:hint="eastAsia" w:cs="Arial"/>
                <w:sz w:val="20"/>
                <w:szCs w:val="20"/>
              </w:rPr>
              <w:t>36.00</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0" w:type="auto"/>
            <w:tcBorders>
              <w:top w:val="nil"/>
              <w:left w:val="nil"/>
              <w:bottom w:val="single" w:color="000000" w:sz="4" w:space="0"/>
              <w:right w:val="single" w:color="000000" w:sz="4" w:space="0"/>
            </w:tcBorders>
            <w:shd w:val="clear" w:color="000000" w:fill="00FF00"/>
            <w:noWrap/>
            <w:vAlign w:val="center"/>
          </w:tcPr>
          <w:p>
            <w:pPr>
              <w:jc w:val="right"/>
              <w:rPr>
                <w:rFonts w:cs="Arial"/>
                <w:sz w:val="20"/>
                <w:szCs w:val="20"/>
              </w:rPr>
            </w:pPr>
            <w:r>
              <w:rPr>
                <w:rFonts w:hint="eastAsia" w:cs="Arial"/>
                <w:sz w:val="20"/>
                <w:szCs w:val="20"/>
              </w:rPr>
              <w:t>23.00</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23.00</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13.00</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33.07</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0.00</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27.09</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14.09</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13.00</w:t>
            </w:r>
          </w:p>
        </w:tc>
        <w:tc>
          <w:tcPr>
            <w:tcW w:w="0" w:type="auto"/>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5.98</w:t>
            </w:r>
          </w:p>
        </w:tc>
      </w:tr>
      <w:tr>
        <w:tblPrEx>
          <w:tblCellMar>
            <w:top w:w="0" w:type="dxa"/>
            <w:left w:w="108" w:type="dxa"/>
            <w:bottom w:w="0" w:type="dxa"/>
            <w:right w:w="108" w:type="dxa"/>
          </w:tblCellMar>
        </w:tblPrEx>
        <w:trPr>
          <w:trHeight w:val="600" w:hRule="atLeast"/>
        </w:trPr>
        <w:tc>
          <w:tcPr>
            <w:tcW w:w="0" w:type="auto"/>
            <w:gridSpan w:val="12"/>
            <w:tcBorders>
              <w:top w:val="nil"/>
              <w:left w:val="nil"/>
              <w:bottom w:val="nil"/>
              <w:right w:val="nil"/>
            </w:tcBorders>
            <w:shd w:val="clear" w:color="000000" w:fill="FFFFFF"/>
            <w:vAlign w:val="center"/>
          </w:tcPr>
          <w:p>
            <w:pPr>
              <w:rPr>
                <w:rFonts w:cs="Arial"/>
                <w:sz w:val="20"/>
                <w:szCs w:val="20"/>
              </w:rPr>
            </w:pPr>
            <w:r>
              <w:rPr>
                <w:rFonts w:hint="eastAsia" w:cs="Arial"/>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pStyle w:val="13"/>
        <w:spacing w:before="0" w:beforeAutospacing="0"/>
        <w:ind w:firstLine="480" w:firstLineChars="150"/>
        <w:outlineLvl w:val="1"/>
        <w:rPr>
          <w:rFonts w:ascii="楷体_GB2312" w:hAnsi="楷体" w:eastAsia="楷体_GB2312" w:cs="楷体"/>
          <w:sz w:val="32"/>
          <w:szCs w:val="32"/>
          <w:shd w:val="clear" w:color="auto" w:fill="FFFFFF"/>
        </w:rPr>
      </w:pPr>
    </w:p>
    <w:p>
      <w:pPr>
        <w:pStyle w:val="13"/>
        <w:numPr>
          <w:ilvl w:val="0"/>
          <w:numId w:val="1"/>
        </w:numPr>
        <w:spacing w:before="0" w:beforeAutospacing="0"/>
        <w:outlineLvl w:val="1"/>
        <w:rPr>
          <w:shd w:val="clear" w:color="auto" w:fill="FFFFFF"/>
        </w:rPr>
        <w:sectPr>
          <w:pgSz w:w="16851" w:h="11915" w:orient="landscape"/>
          <w:pgMar w:top="1800" w:right="1731" w:bottom="1800" w:left="1440" w:header="851" w:footer="992" w:gutter="0"/>
          <w:cols w:space="720" w:num="1"/>
          <w:docGrid w:type="lines" w:linePitch="312" w:charSpace="0"/>
        </w:sectPr>
      </w:pPr>
    </w:p>
    <w:p>
      <w:pPr>
        <w:pStyle w:val="13"/>
        <w:spacing w:before="0" w:beforeAutospacing="0"/>
        <w:ind w:firstLine="480" w:firstLineChars="150"/>
        <w:outlineLvl w:val="1"/>
        <w:rPr>
          <w:rStyle w:val="16"/>
          <w:rFonts w:ascii="楷体_GB2312" w:eastAsia="楷体_GB2312"/>
          <w:b w:val="0"/>
          <w:sz w:val="32"/>
          <w:szCs w:val="32"/>
        </w:rPr>
      </w:pPr>
      <w:bookmarkStart w:id="13" w:name="_Toc16750"/>
      <w:r>
        <w:rPr>
          <w:rStyle w:val="16"/>
          <w:rFonts w:hint="eastAsia" w:ascii="楷体_GB2312" w:eastAsia="楷体_GB2312"/>
          <w:b w:val="0"/>
          <w:sz w:val="32"/>
          <w:szCs w:val="32"/>
        </w:rPr>
        <w:t>八、政府性基金预算财政拨款收入支出决算表</w:t>
      </w:r>
      <w:bookmarkEnd w:id="13"/>
    </w:p>
    <w:tbl>
      <w:tblPr>
        <w:tblStyle w:val="14"/>
        <w:tblW w:w="4937" w:type="pct"/>
        <w:tblInd w:w="108" w:type="dxa"/>
        <w:tblLayout w:type="fixed"/>
        <w:tblCellMar>
          <w:top w:w="0" w:type="dxa"/>
          <w:left w:w="108" w:type="dxa"/>
          <w:bottom w:w="0" w:type="dxa"/>
          <w:right w:w="108" w:type="dxa"/>
        </w:tblCellMar>
      </w:tblPr>
      <w:tblGrid>
        <w:gridCol w:w="368"/>
        <w:gridCol w:w="476"/>
        <w:gridCol w:w="482"/>
        <w:gridCol w:w="2074"/>
        <w:gridCol w:w="990"/>
        <w:gridCol w:w="690"/>
        <w:gridCol w:w="507"/>
        <w:gridCol w:w="168"/>
        <w:gridCol w:w="369"/>
        <w:gridCol w:w="303"/>
        <w:gridCol w:w="738"/>
        <w:gridCol w:w="1259"/>
      </w:tblGrid>
      <w:tr>
        <w:tblPrEx>
          <w:tblCellMar>
            <w:top w:w="0" w:type="dxa"/>
            <w:left w:w="108" w:type="dxa"/>
            <w:bottom w:w="0" w:type="dxa"/>
            <w:right w:w="108" w:type="dxa"/>
          </w:tblCellMar>
        </w:tblPrEx>
        <w:trPr>
          <w:trHeight w:val="300" w:hRule="atLeast"/>
        </w:trPr>
        <w:tc>
          <w:tcPr>
            <w:tcW w:w="218" w:type="pct"/>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282" w:type="pct"/>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286" w:type="pct"/>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1231" w:type="pct"/>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587" w:type="pct"/>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409" w:type="pct"/>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300" w:type="pct"/>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318" w:type="pct"/>
            <w:gridSpan w:val="2"/>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617" w:type="pct"/>
            <w:gridSpan w:val="2"/>
            <w:tcBorders>
              <w:top w:val="nil"/>
              <w:left w:val="nil"/>
              <w:bottom w:val="nil"/>
              <w:right w:val="nil"/>
            </w:tcBorders>
            <w:shd w:val="clear" w:color="000000" w:fill="FFFFFF"/>
            <w:noWrap/>
            <w:vAlign w:val="center"/>
          </w:tcPr>
          <w:p>
            <w:pPr>
              <w:rPr>
                <w:rFonts w:cs="Arial"/>
                <w:sz w:val="18"/>
                <w:szCs w:val="18"/>
              </w:rPr>
            </w:pPr>
            <w:r>
              <w:rPr>
                <w:rFonts w:hint="eastAsia" w:cs="Arial"/>
                <w:sz w:val="18"/>
                <w:szCs w:val="18"/>
              </w:rPr>
              <w:t>　</w:t>
            </w:r>
          </w:p>
        </w:tc>
        <w:tc>
          <w:tcPr>
            <w:tcW w:w="747" w:type="pct"/>
            <w:tcBorders>
              <w:top w:val="nil"/>
              <w:left w:val="nil"/>
              <w:bottom w:val="nil"/>
              <w:right w:val="single" w:color="808080" w:sz="4" w:space="0"/>
            </w:tcBorders>
            <w:shd w:val="clear" w:color="000000" w:fill="FFFFFF"/>
            <w:noWrap/>
            <w:vAlign w:val="center"/>
          </w:tcPr>
          <w:p>
            <w:pPr>
              <w:jc w:val="right"/>
              <w:rPr>
                <w:rFonts w:cs="Arial"/>
                <w:color w:val="000000"/>
                <w:sz w:val="22"/>
                <w:szCs w:val="22"/>
              </w:rPr>
            </w:pPr>
            <w:r>
              <w:rPr>
                <w:rFonts w:hint="eastAsia" w:cs="Arial"/>
                <w:color w:val="000000"/>
                <w:sz w:val="22"/>
                <w:szCs w:val="22"/>
              </w:rPr>
              <w:t>公开08表</w:t>
            </w:r>
          </w:p>
        </w:tc>
      </w:tr>
      <w:tr>
        <w:tblPrEx>
          <w:tblCellMar>
            <w:top w:w="0" w:type="dxa"/>
            <w:left w:w="108" w:type="dxa"/>
            <w:bottom w:w="0" w:type="dxa"/>
            <w:right w:w="108" w:type="dxa"/>
          </w:tblCellMar>
        </w:tblPrEx>
        <w:trPr>
          <w:trHeight w:val="300" w:hRule="atLeast"/>
        </w:trPr>
        <w:tc>
          <w:tcPr>
            <w:tcW w:w="2018" w:type="pct"/>
            <w:gridSpan w:val="4"/>
            <w:tcBorders>
              <w:top w:val="nil"/>
              <w:left w:val="nil"/>
              <w:bottom w:val="single" w:color="808080" w:sz="4" w:space="0"/>
              <w:right w:val="nil"/>
            </w:tcBorders>
            <w:shd w:val="clear" w:color="000000" w:fill="FFFFFF"/>
            <w:noWrap/>
            <w:vAlign w:val="center"/>
          </w:tcPr>
          <w:p>
            <w:pPr>
              <w:rPr>
                <w:rFonts w:cs="Arial"/>
                <w:color w:val="000000"/>
                <w:sz w:val="22"/>
                <w:szCs w:val="22"/>
              </w:rPr>
            </w:pPr>
            <w:r>
              <w:rPr>
                <w:rFonts w:hint="eastAsia" w:cs="Arial"/>
                <w:color w:val="000000"/>
                <w:sz w:val="22"/>
                <w:szCs w:val="22"/>
              </w:rPr>
              <w:t>部门：常德市武陵区人民检察院</w:t>
            </w:r>
          </w:p>
        </w:tc>
        <w:tc>
          <w:tcPr>
            <w:tcW w:w="587" w:type="pct"/>
            <w:tcBorders>
              <w:top w:val="nil"/>
              <w:left w:val="nil"/>
              <w:bottom w:val="single" w:color="808080" w:sz="4" w:space="0"/>
              <w:right w:val="nil"/>
            </w:tcBorders>
            <w:shd w:val="clear" w:color="000000" w:fill="FFFFFF"/>
            <w:noWrap/>
            <w:vAlign w:val="center"/>
          </w:tcPr>
          <w:p>
            <w:pPr>
              <w:jc w:val="center"/>
              <w:rPr>
                <w:rFonts w:cs="Arial"/>
                <w:color w:val="000000"/>
                <w:sz w:val="22"/>
                <w:szCs w:val="22"/>
              </w:rPr>
            </w:pPr>
            <w:r>
              <w:rPr>
                <w:rFonts w:hint="eastAsia" w:cs="Arial"/>
                <w:color w:val="000000"/>
                <w:sz w:val="22"/>
                <w:szCs w:val="22"/>
              </w:rPr>
              <w:t>2020年度</w:t>
            </w:r>
          </w:p>
        </w:tc>
        <w:tc>
          <w:tcPr>
            <w:tcW w:w="409" w:type="pct"/>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300" w:type="pct"/>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318" w:type="pct"/>
            <w:gridSpan w:val="2"/>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617" w:type="pct"/>
            <w:gridSpan w:val="2"/>
            <w:tcBorders>
              <w:top w:val="nil"/>
              <w:left w:val="nil"/>
              <w:bottom w:val="single" w:color="808080" w:sz="4" w:space="0"/>
              <w:right w:val="nil"/>
            </w:tcBorders>
            <w:shd w:val="clear" w:color="000000" w:fill="FFFFFF"/>
            <w:noWrap/>
            <w:vAlign w:val="center"/>
          </w:tcPr>
          <w:p>
            <w:pPr>
              <w:rPr>
                <w:rFonts w:cs="Arial"/>
                <w:sz w:val="18"/>
                <w:szCs w:val="18"/>
              </w:rPr>
            </w:pPr>
            <w:r>
              <w:rPr>
                <w:rFonts w:hint="eastAsia" w:cs="Arial"/>
                <w:sz w:val="18"/>
                <w:szCs w:val="18"/>
              </w:rPr>
              <w:t>　</w:t>
            </w:r>
          </w:p>
        </w:tc>
        <w:tc>
          <w:tcPr>
            <w:tcW w:w="747" w:type="pct"/>
            <w:tcBorders>
              <w:top w:val="nil"/>
              <w:left w:val="nil"/>
              <w:bottom w:val="single" w:color="808080" w:sz="4" w:space="0"/>
              <w:right w:val="single" w:color="808080" w:sz="4" w:space="0"/>
            </w:tcBorders>
            <w:shd w:val="clear" w:color="000000" w:fill="FFFFFF"/>
            <w:noWrap/>
            <w:vAlign w:val="center"/>
          </w:tcPr>
          <w:p>
            <w:pPr>
              <w:jc w:val="right"/>
              <w:rPr>
                <w:rFonts w:cs="Arial"/>
                <w:color w:val="000000"/>
                <w:sz w:val="22"/>
                <w:szCs w:val="22"/>
              </w:rPr>
            </w:pPr>
            <w:r>
              <w:rPr>
                <w:rFonts w:hint="eastAsia" w:cs="Arial"/>
                <w:color w:val="000000"/>
                <w:sz w:val="22"/>
                <w:szCs w:val="22"/>
              </w:rPr>
              <w:t>金额单位：万元</w:t>
            </w:r>
          </w:p>
        </w:tc>
      </w:tr>
      <w:tr>
        <w:tblPrEx>
          <w:tblCellMar>
            <w:top w:w="0" w:type="dxa"/>
            <w:left w:w="108" w:type="dxa"/>
            <w:bottom w:w="0" w:type="dxa"/>
            <w:right w:w="108" w:type="dxa"/>
          </w:tblCellMar>
        </w:tblPrEx>
        <w:trPr>
          <w:trHeight w:val="300" w:hRule="atLeast"/>
        </w:trPr>
        <w:tc>
          <w:tcPr>
            <w:tcW w:w="2018" w:type="pct"/>
            <w:gridSpan w:val="4"/>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项目</w:t>
            </w:r>
          </w:p>
        </w:tc>
        <w:tc>
          <w:tcPr>
            <w:tcW w:w="587" w:type="pct"/>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年初结转和结余</w:t>
            </w:r>
          </w:p>
        </w:tc>
        <w:tc>
          <w:tcPr>
            <w:tcW w:w="409" w:type="pct"/>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本年收入</w:t>
            </w:r>
          </w:p>
        </w:tc>
        <w:tc>
          <w:tcPr>
            <w:tcW w:w="1237" w:type="pct"/>
            <w:gridSpan w:val="5"/>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本年支出</w:t>
            </w:r>
          </w:p>
        </w:tc>
        <w:tc>
          <w:tcPr>
            <w:tcW w:w="747" w:type="pct"/>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年末结转和结余</w:t>
            </w:r>
          </w:p>
        </w:tc>
      </w:tr>
      <w:tr>
        <w:tblPrEx>
          <w:tblCellMar>
            <w:top w:w="0" w:type="dxa"/>
            <w:left w:w="108" w:type="dxa"/>
            <w:bottom w:w="0" w:type="dxa"/>
            <w:right w:w="108" w:type="dxa"/>
          </w:tblCellMar>
        </w:tblPrEx>
        <w:trPr>
          <w:trHeight w:val="300" w:hRule="atLeast"/>
        </w:trPr>
        <w:tc>
          <w:tcPr>
            <w:tcW w:w="787" w:type="pct"/>
            <w:gridSpan w:val="3"/>
            <w:vMerge w:val="restart"/>
            <w:tcBorders>
              <w:top w:val="nil"/>
              <w:left w:val="single" w:color="000000" w:sz="4" w:space="0"/>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功能分类科目编码</w:t>
            </w:r>
          </w:p>
        </w:tc>
        <w:tc>
          <w:tcPr>
            <w:tcW w:w="1231" w:type="pct"/>
            <w:vMerge w:val="restar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科目名称</w:t>
            </w:r>
          </w:p>
        </w:tc>
        <w:tc>
          <w:tcPr>
            <w:tcW w:w="587" w:type="pct"/>
            <w:vMerge w:val="continue"/>
            <w:tcBorders>
              <w:top w:val="nil"/>
              <w:left w:val="nil"/>
              <w:bottom w:val="single" w:color="000000" w:sz="4" w:space="0"/>
              <w:right w:val="single" w:color="000000" w:sz="4" w:space="0"/>
            </w:tcBorders>
            <w:vAlign w:val="center"/>
          </w:tcPr>
          <w:p>
            <w:pPr>
              <w:rPr>
                <w:rFonts w:cs="Arial"/>
                <w:sz w:val="20"/>
                <w:szCs w:val="20"/>
              </w:rPr>
            </w:pPr>
          </w:p>
        </w:tc>
        <w:tc>
          <w:tcPr>
            <w:tcW w:w="409" w:type="pct"/>
            <w:vMerge w:val="continue"/>
            <w:tcBorders>
              <w:top w:val="nil"/>
              <w:left w:val="nil"/>
              <w:bottom w:val="single" w:color="000000" w:sz="4" w:space="0"/>
              <w:right w:val="single" w:color="000000" w:sz="4" w:space="0"/>
            </w:tcBorders>
            <w:vAlign w:val="center"/>
          </w:tcPr>
          <w:p>
            <w:pPr>
              <w:rPr>
                <w:rFonts w:cs="Arial"/>
                <w:sz w:val="20"/>
                <w:szCs w:val="20"/>
              </w:rPr>
            </w:pPr>
          </w:p>
        </w:tc>
        <w:tc>
          <w:tcPr>
            <w:tcW w:w="400" w:type="pct"/>
            <w:gridSpan w:val="2"/>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小计</w:t>
            </w:r>
          </w:p>
        </w:tc>
        <w:tc>
          <w:tcPr>
            <w:tcW w:w="398" w:type="pct"/>
            <w:gridSpan w:val="2"/>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基本支出</w:t>
            </w:r>
          </w:p>
        </w:tc>
        <w:tc>
          <w:tcPr>
            <w:tcW w:w="438" w:type="pct"/>
            <w:vMerge w:val="restart"/>
            <w:tcBorders>
              <w:top w:val="nil"/>
              <w:left w:val="nil"/>
              <w:bottom w:val="single" w:color="000000" w:sz="4" w:space="0"/>
              <w:right w:val="single" w:color="000000" w:sz="4" w:space="0"/>
            </w:tcBorders>
            <w:shd w:val="clear" w:color="000000" w:fill="C0C0C0"/>
            <w:vAlign w:val="center"/>
          </w:tcPr>
          <w:p>
            <w:pPr>
              <w:jc w:val="center"/>
              <w:rPr>
                <w:rFonts w:cs="Arial"/>
                <w:sz w:val="20"/>
                <w:szCs w:val="20"/>
              </w:rPr>
            </w:pPr>
            <w:r>
              <w:rPr>
                <w:rFonts w:hint="eastAsia" w:cs="Arial"/>
                <w:sz w:val="20"/>
                <w:szCs w:val="20"/>
              </w:rPr>
              <w:t>项目支出</w:t>
            </w:r>
          </w:p>
        </w:tc>
        <w:tc>
          <w:tcPr>
            <w:tcW w:w="747" w:type="pct"/>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787" w:type="pct"/>
            <w:gridSpan w:val="3"/>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1231" w:type="pct"/>
            <w:vMerge w:val="continue"/>
            <w:tcBorders>
              <w:top w:val="nil"/>
              <w:left w:val="nil"/>
              <w:bottom w:val="single" w:color="000000" w:sz="4" w:space="0"/>
              <w:right w:val="single" w:color="000000" w:sz="4" w:space="0"/>
            </w:tcBorders>
            <w:vAlign w:val="center"/>
          </w:tcPr>
          <w:p>
            <w:pPr>
              <w:rPr>
                <w:rFonts w:cs="Arial"/>
                <w:sz w:val="20"/>
                <w:szCs w:val="20"/>
              </w:rPr>
            </w:pPr>
          </w:p>
        </w:tc>
        <w:tc>
          <w:tcPr>
            <w:tcW w:w="587" w:type="pct"/>
            <w:vMerge w:val="continue"/>
            <w:tcBorders>
              <w:top w:val="nil"/>
              <w:left w:val="nil"/>
              <w:bottom w:val="single" w:color="000000" w:sz="4" w:space="0"/>
              <w:right w:val="single" w:color="000000" w:sz="4" w:space="0"/>
            </w:tcBorders>
            <w:vAlign w:val="center"/>
          </w:tcPr>
          <w:p>
            <w:pPr>
              <w:rPr>
                <w:rFonts w:cs="Arial"/>
                <w:sz w:val="20"/>
                <w:szCs w:val="20"/>
              </w:rPr>
            </w:pPr>
          </w:p>
        </w:tc>
        <w:tc>
          <w:tcPr>
            <w:tcW w:w="409" w:type="pct"/>
            <w:vMerge w:val="continue"/>
            <w:tcBorders>
              <w:top w:val="nil"/>
              <w:left w:val="nil"/>
              <w:bottom w:val="single" w:color="000000" w:sz="4" w:space="0"/>
              <w:right w:val="single" w:color="000000" w:sz="4" w:space="0"/>
            </w:tcBorders>
            <w:vAlign w:val="center"/>
          </w:tcPr>
          <w:p>
            <w:pPr>
              <w:rPr>
                <w:rFonts w:cs="Arial"/>
                <w:sz w:val="20"/>
                <w:szCs w:val="20"/>
              </w:rPr>
            </w:pPr>
          </w:p>
        </w:tc>
        <w:tc>
          <w:tcPr>
            <w:tcW w:w="400" w:type="pct"/>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398" w:type="pct"/>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438" w:type="pct"/>
            <w:vMerge w:val="continue"/>
            <w:tcBorders>
              <w:top w:val="nil"/>
              <w:left w:val="nil"/>
              <w:bottom w:val="single" w:color="000000" w:sz="4" w:space="0"/>
              <w:right w:val="single" w:color="000000" w:sz="4" w:space="0"/>
            </w:tcBorders>
            <w:vAlign w:val="center"/>
          </w:tcPr>
          <w:p>
            <w:pPr>
              <w:rPr>
                <w:rFonts w:cs="Arial"/>
                <w:sz w:val="20"/>
                <w:szCs w:val="20"/>
              </w:rPr>
            </w:pPr>
          </w:p>
        </w:tc>
        <w:tc>
          <w:tcPr>
            <w:tcW w:w="747" w:type="pct"/>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259" w:hRule="atLeast"/>
        </w:trPr>
        <w:tc>
          <w:tcPr>
            <w:tcW w:w="787" w:type="pct"/>
            <w:gridSpan w:val="3"/>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1231" w:type="pct"/>
            <w:vMerge w:val="continue"/>
            <w:tcBorders>
              <w:top w:val="nil"/>
              <w:left w:val="nil"/>
              <w:bottom w:val="single" w:color="000000" w:sz="4" w:space="0"/>
              <w:right w:val="single" w:color="000000" w:sz="4" w:space="0"/>
            </w:tcBorders>
            <w:vAlign w:val="center"/>
          </w:tcPr>
          <w:p>
            <w:pPr>
              <w:rPr>
                <w:rFonts w:cs="Arial"/>
                <w:sz w:val="20"/>
                <w:szCs w:val="20"/>
              </w:rPr>
            </w:pPr>
          </w:p>
        </w:tc>
        <w:tc>
          <w:tcPr>
            <w:tcW w:w="587" w:type="pct"/>
            <w:vMerge w:val="continue"/>
            <w:tcBorders>
              <w:top w:val="nil"/>
              <w:left w:val="nil"/>
              <w:bottom w:val="single" w:color="000000" w:sz="4" w:space="0"/>
              <w:right w:val="single" w:color="000000" w:sz="4" w:space="0"/>
            </w:tcBorders>
            <w:vAlign w:val="center"/>
          </w:tcPr>
          <w:p>
            <w:pPr>
              <w:rPr>
                <w:rFonts w:cs="Arial"/>
                <w:sz w:val="20"/>
                <w:szCs w:val="20"/>
              </w:rPr>
            </w:pPr>
          </w:p>
        </w:tc>
        <w:tc>
          <w:tcPr>
            <w:tcW w:w="409" w:type="pct"/>
            <w:vMerge w:val="continue"/>
            <w:tcBorders>
              <w:top w:val="nil"/>
              <w:left w:val="nil"/>
              <w:bottom w:val="single" w:color="000000" w:sz="4" w:space="0"/>
              <w:right w:val="single" w:color="000000" w:sz="4" w:space="0"/>
            </w:tcBorders>
            <w:vAlign w:val="center"/>
          </w:tcPr>
          <w:p>
            <w:pPr>
              <w:rPr>
                <w:rFonts w:cs="Arial"/>
                <w:sz w:val="20"/>
                <w:szCs w:val="20"/>
              </w:rPr>
            </w:pPr>
          </w:p>
        </w:tc>
        <w:tc>
          <w:tcPr>
            <w:tcW w:w="400" w:type="pct"/>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398" w:type="pct"/>
            <w:gridSpan w:val="2"/>
            <w:vMerge w:val="continue"/>
            <w:tcBorders>
              <w:top w:val="nil"/>
              <w:left w:val="nil"/>
              <w:bottom w:val="single" w:color="000000" w:sz="4" w:space="0"/>
              <w:right w:val="single" w:color="000000" w:sz="4" w:space="0"/>
            </w:tcBorders>
            <w:vAlign w:val="center"/>
          </w:tcPr>
          <w:p>
            <w:pPr>
              <w:rPr>
                <w:rFonts w:cs="Arial"/>
                <w:sz w:val="20"/>
                <w:szCs w:val="20"/>
              </w:rPr>
            </w:pPr>
          </w:p>
        </w:tc>
        <w:tc>
          <w:tcPr>
            <w:tcW w:w="438" w:type="pct"/>
            <w:vMerge w:val="continue"/>
            <w:tcBorders>
              <w:top w:val="nil"/>
              <w:left w:val="nil"/>
              <w:bottom w:val="single" w:color="000000" w:sz="4" w:space="0"/>
              <w:right w:val="single" w:color="000000" w:sz="4" w:space="0"/>
            </w:tcBorders>
            <w:vAlign w:val="center"/>
          </w:tcPr>
          <w:p>
            <w:pPr>
              <w:rPr>
                <w:rFonts w:cs="Arial"/>
                <w:sz w:val="20"/>
                <w:szCs w:val="20"/>
              </w:rPr>
            </w:pPr>
          </w:p>
        </w:tc>
        <w:tc>
          <w:tcPr>
            <w:tcW w:w="747" w:type="pct"/>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2018" w:type="pct"/>
            <w:gridSpan w:val="4"/>
            <w:tcBorders>
              <w:top w:val="nil"/>
              <w:left w:val="single" w:color="000000" w:sz="4" w:space="0"/>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栏次</w:t>
            </w:r>
          </w:p>
        </w:tc>
        <w:tc>
          <w:tcPr>
            <w:tcW w:w="587"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1</w:t>
            </w:r>
          </w:p>
        </w:tc>
        <w:tc>
          <w:tcPr>
            <w:tcW w:w="409"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2</w:t>
            </w:r>
          </w:p>
        </w:tc>
        <w:tc>
          <w:tcPr>
            <w:tcW w:w="400"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3</w:t>
            </w:r>
          </w:p>
        </w:tc>
        <w:tc>
          <w:tcPr>
            <w:tcW w:w="398" w:type="pct"/>
            <w:gridSpan w:val="2"/>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4</w:t>
            </w:r>
          </w:p>
        </w:tc>
        <w:tc>
          <w:tcPr>
            <w:tcW w:w="438"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5</w:t>
            </w:r>
          </w:p>
        </w:tc>
        <w:tc>
          <w:tcPr>
            <w:tcW w:w="747" w:type="pct"/>
            <w:tcBorders>
              <w:top w:val="nil"/>
              <w:left w:val="nil"/>
              <w:bottom w:val="single" w:color="000000" w:sz="4" w:space="0"/>
              <w:right w:val="single" w:color="000000" w:sz="4" w:space="0"/>
            </w:tcBorders>
            <w:shd w:val="clear" w:color="000000" w:fill="C0C0C0"/>
            <w:noWrap/>
            <w:vAlign w:val="center"/>
          </w:tcPr>
          <w:p>
            <w:pPr>
              <w:jc w:val="center"/>
              <w:rPr>
                <w:rFonts w:cs="Arial"/>
                <w:sz w:val="20"/>
                <w:szCs w:val="20"/>
              </w:rPr>
            </w:pPr>
            <w:r>
              <w:rPr>
                <w:rFonts w:hint="eastAsia" w:cs="Arial"/>
                <w:sz w:val="20"/>
                <w:szCs w:val="20"/>
              </w:rPr>
              <w:t>6</w:t>
            </w:r>
          </w:p>
        </w:tc>
      </w:tr>
      <w:tr>
        <w:tblPrEx>
          <w:tblCellMar>
            <w:top w:w="0" w:type="dxa"/>
            <w:left w:w="108" w:type="dxa"/>
            <w:bottom w:w="0" w:type="dxa"/>
            <w:right w:w="108" w:type="dxa"/>
          </w:tblCellMar>
        </w:tblPrEx>
        <w:trPr>
          <w:trHeight w:val="300" w:hRule="atLeast"/>
        </w:trPr>
        <w:tc>
          <w:tcPr>
            <w:tcW w:w="2018" w:type="pct"/>
            <w:gridSpan w:val="4"/>
            <w:tcBorders>
              <w:top w:val="nil"/>
              <w:left w:val="single" w:color="000000" w:sz="4" w:space="0"/>
              <w:bottom w:val="single" w:color="000000" w:sz="4" w:space="0"/>
              <w:right w:val="single" w:color="000000" w:sz="4" w:space="0"/>
            </w:tcBorders>
            <w:shd w:val="clear" w:color="000000" w:fill="C0C0C0"/>
            <w:noWrap/>
            <w:vAlign w:val="center"/>
          </w:tcPr>
          <w:p>
            <w:pPr>
              <w:rPr>
                <w:rFonts w:cs="Arial"/>
                <w:sz w:val="20"/>
                <w:szCs w:val="20"/>
              </w:rPr>
            </w:pPr>
            <w:r>
              <w:rPr>
                <w:rFonts w:hint="eastAsia" w:cs="Arial"/>
                <w:sz w:val="20"/>
                <w:szCs w:val="20"/>
              </w:rPr>
              <w:t>合计</w:t>
            </w:r>
          </w:p>
        </w:tc>
        <w:tc>
          <w:tcPr>
            <w:tcW w:w="587" w:type="pct"/>
            <w:tcBorders>
              <w:top w:val="nil"/>
              <w:left w:val="nil"/>
              <w:bottom w:val="single" w:color="000000" w:sz="4" w:space="0"/>
              <w:right w:val="single" w:color="000000" w:sz="4" w:space="0"/>
            </w:tcBorders>
            <w:shd w:val="clear" w:color="000000" w:fill="FFFFFF"/>
            <w:noWrap/>
            <w:vAlign w:val="center"/>
          </w:tcPr>
          <w:p>
            <w:pPr>
              <w:jc w:val="right"/>
              <w:textAlignment w:val="center"/>
              <w:rPr>
                <w:rFonts w:cs="Arial"/>
                <w:b/>
                <w:bCs/>
                <w:sz w:val="20"/>
                <w:szCs w:val="20"/>
              </w:rPr>
            </w:pPr>
            <w:r>
              <w:rPr>
                <w:rFonts w:hint="eastAsia" w:cs="宋体"/>
                <w:b/>
                <w:color w:val="000000"/>
                <w:sz w:val="20"/>
                <w:szCs w:val="20"/>
              </w:rPr>
              <w:t>0.00</w:t>
            </w:r>
          </w:p>
        </w:tc>
        <w:tc>
          <w:tcPr>
            <w:tcW w:w="409" w:type="pct"/>
            <w:tcBorders>
              <w:top w:val="nil"/>
              <w:left w:val="nil"/>
              <w:bottom w:val="single" w:color="000000" w:sz="4" w:space="0"/>
              <w:right w:val="single" w:color="000000" w:sz="4" w:space="0"/>
            </w:tcBorders>
            <w:shd w:val="clear" w:color="000000" w:fill="FFFFFF"/>
            <w:noWrap/>
            <w:vAlign w:val="center"/>
          </w:tcPr>
          <w:p>
            <w:pPr>
              <w:jc w:val="right"/>
              <w:textAlignment w:val="center"/>
              <w:rPr>
                <w:rFonts w:cs="Arial"/>
                <w:b/>
                <w:bCs/>
                <w:sz w:val="20"/>
                <w:szCs w:val="20"/>
              </w:rPr>
            </w:pPr>
            <w:r>
              <w:rPr>
                <w:rFonts w:hint="eastAsia" w:cs="宋体"/>
                <w:b/>
                <w:color w:val="000000"/>
                <w:sz w:val="20"/>
                <w:szCs w:val="20"/>
              </w:rPr>
              <w:t>0.00</w:t>
            </w:r>
          </w:p>
        </w:tc>
        <w:tc>
          <w:tcPr>
            <w:tcW w:w="400" w:type="pct"/>
            <w:gridSpan w:val="2"/>
            <w:tcBorders>
              <w:top w:val="nil"/>
              <w:left w:val="nil"/>
              <w:bottom w:val="single" w:color="000000" w:sz="4" w:space="0"/>
              <w:right w:val="single" w:color="000000" w:sz="4" w:space="0"/>
            </w:tcBorders>
            <w:shd w:val="clear" w:color="000000" w:fill="FFFFFF"/>
            <w:noWrap/>
            <w:vAlign w:val="center"/>
          </w:tcPr>
          <w:p>
            <w:pPr>
              <w:jc w:val="right"/>
              <w:textAlignment w:val="center"/>
              <w:rPr>
                <w:rFonts w:cs="Arial"/>
                <w:b/>
                <w:bCs/>
                <w:sz w:val="20"/>
                <w:szCs w:val="20"/>
              </w:rPr>
            </w:pPr>
            <w:r>
              <w:rPr>
                <w:rFonts w:hint="eastAsia" w:cs="宋体"/>
                <w:b/>
                <w:color w:val="000000"/>
                <w:sz w:val="20"/>
                <w:szCs w:val="20"/>
              </w:rPr>
              <w:t>0.00</w:t>
            </w:r>
          </w:p>
        </w:tc>
        <w:tc>
          <w:tcPr>
            <w:tcW w:w="398" w:type="pct"/>
            <w:gridSpan w:val="2"/>
            <w:tcBorders>
              <w:top w:val="nil"/>
              <w:left w:val="nil"/>
              <w:bottom w:val="single" w:color="000000" w:sz="4" w:space="0"/>
              <w:right w:val="single" w:color="000000" w:sz="4" w:space="0"/>
            </w:tcBorders>
            <w:shd w:val="clear" w:color="000000" w:fill="FFFFFF"/>
            <w:noWrap/>
            <w:vAlign w:val="center"/>
          </w:tcPr>
          <w:p>
            <w:pPr>
              <w:jc w:val="right"/>
              <w:textAlignment w:val="center"/>
              <w:rPr>
                <w:rFonts w:cs="Arial"/>
                <w:b/>
                <w:bCs/>
                <w:sz w:val="20"/>
                <w:szCs w:val="20"/>
              </w:rPr>
            </w:pPr>
            <w:r>
              <w:rPr>
                <w:rFonts w:hint="eastAsia" w:cs="宋体"/>
                <w:b/>
                <w:color w:val="000000"/>
                <w:sz w:val="20"/>
                <w:szCs w:val="20"/>
              </w:rPr>
              <w:t>0.00</w:t>
            </w:r>
          </w:p>
        </w:tc>
        <w:tc>
          <w:tcPr>
            <w:tcW w:w="438" w:type="pct"/>
            <w:tcBorders>
              <w:top w:val="nil"/>
              <w:left w:val="nil"/>
              <w:bottom w:val="single" w:color="000000" w:sz="4" w:space="0"/>
              <w:right w:val="single" w:color="000000" w:sz="4" w:space="0"/>
            </w:tcBorders>
            <w:shd w:val="clear" w:color="000000" w:fill="FFFFFF"/>
            <w:noWrap/>
            <w:vAlign w:val="center"/>
          </w:tcPr>
          <w:p>
            <w:pPr>
              <w:jc w:val="right"/>
              <w:textAlignment w:val="center"/>
              <w:rPr>
                <w:rFonts w:cs="Arial"/>
                <w:b/>
                <w:bCs/>
                <w:sz w:val="20"/>
                <w:szCs w:val="20"/>
              </w:rPr>
            </w:pPr>
            <w:r>
              <w:rPr>
                <w:rFonts w:hint="eastAsia" w:cs="宋体"/>
                <w:b/>
                <w:color w:val="000000"/>
                <w:sz w:val="20"/>
                <w:szCs w:val="20"/>
              </w:rPr>
              <w:t>0.00</w:t>
            </w:r>
          </w:p>
        </w:tc>
        <w:tc>
          <w:tcPr>
            <w:tcW w:w="747" w:type="pct"/>
            <w:tcBorders>
              <w:top w:val="nil"/>
              <w:left w:val="nil"/>
              <w:bottom w:val="single" w:color="000000" w:sz="4" w:space="0"/>
              <w:right w:val="single" w:color="000000" w:sz="4" w:space="0"/>
            </w:tcBorders>
            <w:shd w:val="clear" w:color="000000" w:fill="FFFFFF"/>
            <w:noWrap/>
            <w:vAlign w:val="center"/>
          </w:tcPr>
          <w:p>
            <w:pPr>
              <w:jc w:val="right"/>
              <w:textAlignment w:val="center"/>
              <w:rPr>
                <w:rFonts w:cs="Arial"/>
                <w:b/>
                <w:bCs/>
                <w:sz w:val="20"/>
                <w:szCs w:val="20"/>
              </w:rPr>
            </w:pPr>
            <w:r>
              <w:rPr>
                <w:rFonts w:hint="eastAsia" w:cs="宋体"/>
                <w:b/>
                <w:color w:val="000000"/>
                <w:sz w:val="20"/>
                <w:szCs w:val="20"/>
              </w:rPr>
              <w:t>0.00</w:t>
            </w:r>
          </w:p>
        </w:tc>
      </w:tr>
      <w:tr>
        <w:tblPrEx>
          <w:tblCellMar>
            <w:top w:w="0" w:type="dxa"/>
            <w:left w:w="108" w:type="dxa"/>
            <w:bottom w:w="0" w:type="dxa"/>
            <w:right w:w="108" w:type="dxa"/>
          </w:tblCellMar>
        </w:tblPrEx>
        <w:trPr>
          <w:trHeight w:val="300" w:hRule="atLeast"/>
        </w:trPr>
        <w:tc>
          <w:tcPr>
            <w:tcW w:w="787" w:type="pct"/>
            <w:gridSpan w:val="3"/>
            <w:tcBorders>
              <w:top w:val="nil"/>
              <w:left w:val="single" w:color="000000" w:sz="4" w:space="0"/>
              <w:bottom w:val="single" w:color="000000" w:sz="4" w:space="0"/>
              <w:right w:val="single" w:color="000000" w:sz="4" w:space="0"/>
            </w:tcBorders>
            <w:shd w:val="clear" w:color="000000" w:fill="FFFFFF"/>
            <w:noWrap/>
            <w:vAlign w:val="center"/>
          </w:tcPr>
          <w:p>
            <w:pPr>
              <w:rPr>
                <w:rFonts w:cs="Arial"/>
                <w:sz w:val="20"/>
                <w:szCs w:val="20"/>
              </w:rPr>
            </w:pPr>
            <w:r>
              <w:rPr>
                <w:rFonts w:hint="eastAsia" w:cs="Arial"/>
                <w:sz w:val="20"/>
                <w:szCs w:val="20"/>
              </w:rPr>
              <w:t>　</w:t>
            </w:r>
          </w:p>
        </w:tc>
        <w:tc>
          <w:tcPr>
            <w:tcW w:w="1231" w:type="pct"/>
            <w:tcBorders>
              <w:top w:val="nil"/>
              <w:left w:val="nil"/>
              <w:bottom w:val="single" w:color="000000" w:sz="4" w:space="0"/>
              <w:right w:val="single" w:color="000000" w:sz="4" w:space="0"/>
            </w:tcBorders>
            <w:shd w:val="clear" w:color="000000" w:fill="CCFFFF"/>
            <w:noWrap/>
            <w:vAlign w:val="center"/>
          </w:tcPr>
          <w:p>
            <w:pPr>
              <w:rPr>
                <w:rFonts w:cs="Arial"/>
                <w:sz w:val="20"/>
                <w:szCs w:val="20"/>
              </w:rPr>
            </w:pPr>
            <w:r>
              <w:rPr>
                <w:rFonts w:hint="eastAsia" w:cs="Arial"/>
                <w:sz w:val="20"/>
                <w:szCs w:val="20"/>
              </w:rPr>
              <w:t>　</w:t>
            </w:r>
          </w:p>
        </w:tc>
        <w:tc>
          <w:tcPr>
            <w:tcW w:w="587"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409"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400" w:type="pct"/>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398" w:type="pct"/>
            <w:gridSpan w:val="2"/>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438"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c>
          <w:tcPr>
            <w:tcW w:w="747" w:type="pct"/>
            <w:tcBorders>
              <w:top w:val="nil"/>
              <w:left w:val="nil"/>
              <w:bottom w:val="single" w:color="000000" w:sz="4" w:space="0"/>
              <w:right w:val="single" w:color="000000" w:sz="4" w:space="0"/>
            </w:tcBorders>
            <w:shd w:val="clear" w:color="000000" w:fill="FFFFFF"/>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5000" w:type="pct"/>
            <w:gridSpan w:val="12"/>
            <w:tcBorders>
              <w:top w:val="nil"/>
              <w:left w:val="nil"/>
              <w:bottom w:val="nil"/>
              <w:right w:val="nil"/>
            </w:tcBorders>
            <w:shd w:val="clear" w:color="000000" w:fill="FFFFFF"/>
            <w:noWrap/>
            <w:vAlign w:val="center"/>
          </w:tcPr>
          <w:p>
            <w:pPr>
              <w:rPr>
                <w:rFonts w:cs="Arial"/>
                <w:sz w:val="20"/>
                <w:szCs w:val="20"/>
              </w:rPr>
            </w:pPr>
            <w:r>
              <w:rPr>
                <w:rFonts w:hint="eastAsia" w:cs="Arial"/>
                <w:sz w:val="20"/>
                <w:szCs w:val="20"/>
              </w:rPr>
              <w:t>注：本表反映部门本年度政府性基金预算财政拨款收入、支出及结转和结余情况。2020年度本单位无政府性基金收支，因此本表无数据。</w:t>
            </w:r>
          </w:p>
        </w:tc>
      </w:tr>
    </w:tbl>
    <w:p>
      <w:pPr>
        <w:pStyle w:val="13"/>
        <w:spacing w:before="0" w:beforeAutospacing="0"/>
        <w:jc w:val="center"/>
        <w:rPr>
          <w:rStyle w:val="16"/>
          <w:rFonts w:ascii="楷体" w:hAnsi="楷体" w:eastAsia="楷体" w:cs="楷体"/>
          <w:sz w:val="32"/>
          <w:szCs w:val="32"/>
          <w:shd w:val="clear" w:color="auto" w:fill="FFFFFF"/>
        </w:rPr>
      </w:pPr>
    </w:p>
    <w:p>
      <w:pPr>
        <w:pStyle w:val="13"/>
        <w:spacing w:before="0" w:beforeAutospacing="0"/>
        <w:ind w:firstLine="480" w:firstLineChars="150"/>
        <w:outlineLvl w:val="1"/>
        <w:rPr>
          <w:rStyle w:val="16"/>
          <w:rFonts w:ascii="楷体_GB2312" w:eastAsia="楷体_GB2312"/>
          <w:b w:val="0"/>
          <w:sz w:val="32"/>
          <w:szCs w:val="32"/>
        </w:rPr>
      </w:pPr>
      <w:r>
        <w:rPr>
          <w:rStyle w:val="16"/>
          <w:rFonts w:hint="eastAsia" w:ascii="楷体_GB2312" w:eastAsia="楷体_GB2312"/>
          <w:b w:val="0"/>
          <w:sz w:val="32"/>
          <w:szCs w:val="32"/>
        </w:rPr>
        <w:t>九、国有资本经营预算财政拨款支出决算表</w:t>
      </w:r>
    </w:p>
    <w:tbl>
      <w:tblPr>
        <w:tblStyle w:val="14"/>
        <w:tblW w:w="5000" w:type="pct"/>
        <w:tblInd w:w="0" w:type="dxa"/>
        <w:tblLayout w:type="autofit"/>
        <w:tblCellMar>
          <w:top w:w="0" w:type="dxa"/>
          <w:left w:w="0" w:type="dxa"/>
          <w:bottom w:w="0" w:type="dxa"/>
          <w:right w:w="0" w:type="dxa"/>
        </w:tblCellMar>
      </w:tblPr>
      <w:tblGrid>
        <w:gridCol w:w="1253"/>
        <w:gridCol w:w="1253"/>
        <w:gridCol w:w="1253"/>
        <w:gridCol w:w="1167"/>
        <w:gridCol w:w="523"/>
        <w:gridCol w:w="1004"/>
        <w:gridCol w:w="1892"/>
      </w:tblGrid>
      <w:tr>
        <w:tblPrEx>
          <w:tblCellMar>
            <w:top w:w="0" w:type="dxa"/>
            <w:left w:w="0" w:type="dxa"/>
            <w:bottom w:w="0" w:type="dxa"/>
            <w:right w:w="0" w:type="dxa"/>
          </w:tblCellMar>
        </w:tblPrEx>
        <w:trPr>
          <w:trHeight w:val="300" w:hRule="atLeast"/>
        </w:trPr>
        <w:tc>
          <w:tcPr>
            <w:tcW w:w="751" w:type="pct"/>
            <w:tcBorders>
              <w:top w:val="nil"/>
              <w:left w:val="nil"/>
              <w:bottom w:val="nil"/>
              <w:right w:val="nil"/>
            </w:tcBorders>
            <w:shd w:val="clear" w:color="000000" w:fill="FFFFFF"/>
            <w:noWrap/>
            <w:tcMar>
              <w:top w:w="15" w:type="dxa"/>
              <w:left w:w="15" w:type="dxa"/>
              <w:bottom w:w="0" w:type="dxa"/>
              <w:right w:w="15" w:type="dxa"/>
            </w:tcMar>
            <w:vAlign w:val="center"/>
          </w:tcPr>
          <w:p>
            <w:pPr>
              <w:rPr>
                <w:rFonts w:cs="Arial"/>
                <w:sz w:val="22"/>
                <w:szCs w:val="22"/>
              </w:rPr>
            </w:pPr>
          </w:p>
        </w:tc>
        <w:tc>
          <w:tcPr>
            <w:tcW w:w="751" w:type="pct"/>
            <w:tcBorders>
              <w:top w:val="nil"/>
              <w:left w:val="nil"/>
              <w:bottom w:val="nil"/>
              <w:right w:val="nil"/>
            </w:tcBorders>
            <w:shd w:val="clear" w:color="000000" w:fill="FFFFFF"/>
            <w:noWrap/>
            <w:tcMar>
              <w:top w:w="15" w:type="dxa"/>
              <w:left w:w="15" w:type="dxa"/>
              <w:bottom w:w="0" w:type="dxa"/>
              <w:right w:w="15" w:type="dxa"/>
            </w:tcMar>
            <w:vAlign w:val="center"/>
          </w:tcPr>
          <w:p>
            <w:pPr>
              <w:rPr>
                <w:rFonts w:cs="Arial"/>
                <w:sz w:val="18"/>
                <w:szCs w:val="18"/>
              </w:rPr>
            </w:pPr>
            <w:r>
              <w:rPr>
                <w:rFonts w:hint="eastAsia" w:cs="Arial"/>
                <w:sz w:val="18"/>
                <w:szCs w:val="18"/>
              </w:rPr>
              <w:t>　</w:t>
            </w:r>
          </w:p>
        </w:tc>
        <w:tc>
          <w:tcPr>
            <w:tcW w:w="751" w:type="pct"/>
            <w:tcBorders>
              <w:top w:val="nil"/>
              <w:left w:val="nil"/>
              <w:bottom w:val="nil"/>
              <w:right w:val="nil"/>
            </w:tcBorders>
            <w:shd w:val="clear" w:color="000000" w:fill="FFFFFF"/>
            <w:noWrap/>
            <w:tcMar>
              <w:top w:w="15" w:type="dxa"/>
              <w:left w:w="15" w:type="dxa"/>
              <w:bottom w:w="0" w:type="dxa"/>
              <w:right w:w="15" w:type="dxa"/>
            </w:tcMar>
            <w:vAlign w:val="center"/>
          </w:tcPr>
          <w:p>
            <w:pPr>
              <w:rPr>
                <w:rFonts w:cs="Arial"/>
                <w:sz w:val="18"/>
                <w:szCs w:val="18"/>
              </w:rPr>
            </w:pPr>
            <w:r>
              <w:rPr>
                <w:rFonts w:hint="eastAsia" w:cs="Arial"/>
                <w:sz w:val="18"/>
                <w:szCs w:val="18"/>
              </w:rPr>
              <w:t>　</w:t>
            </w:r>
          </w:p>
        </w:tc>
        <w:tc>
          <w:tcPr>
            <w:tcW w:w="699" w:type="pct"/>
            <w:tcBorders>
              <w:top w:val="nil"/>
              <w:left w:val="nil"/>
              <w:bottom w:val="nil"/>
              <w:right w:val="nil"/>
            </w:tcBorders>
            <w:shd w:val="clear" w:color="000000" w:fill="FFFFFF"/>
            <w:noWrap/>
            <w:tcMar>
              <w:top w:w="15" w:type="dxa"/>
              <w:left w:w="15" w:type="dxa"/>
              <w:bottom w:w="0" w:type="dxa"/>
              <w:right w:w="15" w:type="dxa"/>
            </w:tcMar>
            <w:vAlign w:val="center"/>
          </w:tcPr>
          <w:p>
            <w:pPr>
              <w:rPr>
                <w:rFonts w:cs="Arial"/>
                <w:sz w:val="18"/>
                <w:szCs w:val="18"/>
              </w:rPr>
            </w:pPr>
            <w:r>
              <w:rPr>
                <w:rFonts w:hint="eastAsia" w:cs="Arial"/>
                <w:sz w:val="18"/>
                <w:szCs w:val="18"/>
              </w:rPr>
              <w:t>　</w:t>
            </w:r>
          </w:p>
        </w:tc>
        <w:tc>
          <w:tcPr>
            <w:tcW w:w="311" w:type="pct"/>
            <w:tcBorders>
              <w:top w:val="nil"/>
              <w:left w:val="nil"/>
              <w:bottom w:val="nil"/>
              <w:right w:val="nil"/>
            </w:tcBorders>
            <w:shd w:val="clear" w:color="000000" w:fill="FFFFFF"/>
            <w:noWrap/>
            <w:tcMar>
              <w:top w:w="15" w:type="dxa"/>
              <w:left w:w="15" w:type="dxa"/>
              <w:bottom w:w="0" w:type="dxa"/>
              <w:right w:w="15" w:type="dxa"/>
            </w:tcMar>
            <w:vAlign w:val="center"/>
          </w:tcPr>
          <w:p>
            <w:pPr>
              <w:rPr>
                <w:rFonts w:cs="Arial"/>
                <w:sz w:val="18"/>
                <w:szCs w:val="18"/>
              </w:rPr>
            </w:pPr>
            <w:r>
              <w:rPr>
                <w:rFonts w:hint="eastAsia" w:cs="Arial"/>
                <w:sz w:val="18"/>
                <w:szCs w:val="18"/>
              </w:rPr>
              <w:t>　</w:t>
            </w:r>
          </w:p>
        </w:tc>
        <w:tc>
          <w:tcPr>
            <w:tcW w:w="601" w:type="pct"/>
            <w:tcBorders>
              <w:top w:val="nil"/>
              <w:left w:val="nil"/>
              <w:bottom w:val="nil"/>
              <w:right w:val="nil"/>
            </w:tcBorders>
            <w:shd w:val="clear" w:color="000000" w:fill="FFFFFF"/>
            <w:noWrap/>
            <w:tcMar>
              <w:top w:w="15" w:type="dxa"/>
              <w:left w:w="15" w:type="dxa"/>
              <w:bottom w:w="0" w:type="dxa"/>
              <w:right w:w="15" w:type="dxa"/>
            </w:tcMar>
            <w:vAlign w:val="center"/>
          </w:tcPr>
          <w:p>
            <w:pPr>
              <w:rPr>
                <w:rFonts w:cs="Arial"/>
                <w:sz w:val="18"/>
                <w:szCs w:val="18"/>
              </w:rPr>
            </w:pPr>
            <w:r>
              <w:rPr>
                <w:rFonts w:hint="eastAsia" w:cs="Arial"/>
                <w:sz w:val="18"/>
                <w:szCs w:val="18"/>
              </w:rPr>
              <w:t>　</w:t>
            </w:r>
          </w:p>
        </w:tc>
        <w:tc>
          <w:tcPr>
            <w:tcW w:w="1137" w:type="pct"/>
            <w:tcBorders>
              <w:top w:val="nil"/>
              <w:left w:val="nil"/>
              <w:bottom w:val="nil"/>
              <w:right w:val="single" w:color="808080" w:sz="4" w:space="0"/>
            </w:tcBorders>
            <w:shd w:val="clear" w:color="000000" w:fill="FFFFFF"/>
            <w:noWrap/>
            <w:tcMar>
              <w:top w:w="15" w:type="dxa"/>
              <w:left w:w="15" w:type="dxa"/>
              <w:bottom w:w="0" w:type="dxa"/>
              <w:right w:w="15" w:type="dxa"/>
            </w:tcMar>
            <w:vAlign w:val="center"/>
          </w:tcPr>
          <w:p>
            <w:pPr>
              <w:rPr>
                <w:rFonts w:cs="Arial"/>
                <w:sz w:val="18"/>
                <w:szCs w:val="18"/>
              </w:rPr>
            </w:pPr>
            <w:r>
              <w:rPr>
                <w:rFonts w:hint="eastAsia" w:cs="Arial"/>
                <w:sz w:val="18"/>
                <w:szCs w:val="18"/>
              </w:rPr>
              <w:t>　</w:t>
            </w:r>
          </w:p>
        </w:tc>
      </w:tr>
      <w:tr>
        <w:tblPrEx>
          <w:tblCellMar>
            <w:top w:w="0" w:type="dxa"/>
            <w:left w:w="0" w:type="dxa"/>
            <w:bottom w:w="0" w:type="dxa"/>
            <w:right w:w="0" w:type="dxa"/>
          </w:tblCellMar>
        </w:tblPrEx>
        <w:trPr>
          <w:trHeight w:val="300" w:hRule="atLeast"/>
        </w:trPr>
        <w:tc>
          <w:tcPr>
            <w:tcW w:w="751" w:type="pct"/>
            <w:tcBorders>
              <w:top w:val="nil"/>
              <w:left w:val="nil"/>
              <w:bottom w:val="nil"/>
              <w:right w:val="nil"/>
            </w:tcBorders>
            <w:shd w:val="clear" w:color="000000" w:fill="FFFFFF"/>
            <w:noWrap/>
            <w:tcMar>
              <w:top w:w="15" w:type="dxa"/>
              <w:left w:w="15" w:type="dxa"/>
              <w:bottom w:w="0" w:type="dxa"/>
              <w:right w:w="15" w:type="dxa"/>
            </w:tcMar>
            <w:vAlign w:val="center"/>
          </w:tcPr>
          <w:p>
            <w:pPr>
              <w:rPr>
                <w:rFonts w:cs="Arial"/>
                <w:sz w:val="18"/>
                <w:szCs w:val="18"/>
              </w:rPr>
            </w:pPr>
            <w:r>
              <w:rPr>
                <w:rFonts w:hint="eastAsia" w:cs="Arial"/>
                <w:sz w:val="18"/>
                <w:szCs w:val="18"/>
              </w:rPr>
              <w:t>　</w:t>
            </w:r>
          </w:p>
        </w:tc>
        <w:tc>
          <w:tcPr>
            <w:tcW w:w="751" w:type="pct"/>
            <w:tcBorders>
              <w:top w:val="nil"/>
              <w:left w:val="nil"/>
              <w:bottom w:val="nil"/>
              <w:right w:val="nil"/>
            </w:tcBorders>
            <w:shd w:val="clear" w:color="000000" w:fill="FFFFFF"/>
            <w:noWrap/>
            <w:tcMar>
              <w:top w:w="15" w:type="dxa"/>
              <w:left w:w="15" w:type="dxa"/>
              <w:bottom w:w="0" w:type="dxa"/>
              <w:right w:w="15" w:type="dxa"/>
            </w:tcMar>
            <w:vAlign w:val="center"/>
          </w:tcPr>
          <w:p>
            <w:pPr>
              <w:rPr>
                <w:rFonts w:cs="Arial"/>
                <w:sz w:val="18"/>
                <w:szCs w:val="18"/>
              </w:rPr>
            </w:pPr>
            <w:r>
              <w:rPr>
                <w:rFonts w:hint="eastAsia" w:cs="Arial"/>
                <w:sz w:val="18"/>
                <w:szCs w:val="18"/>
              </w:rPr>
              <w:t>　</w:t>
            </w:r>
          </w:p>
        </w:tc>
        <w:tc>
          <w:tcPr>
            <w:tcW w:w="751" w:type="pct"/>
            <w:tcBorders>
              <w:top w:val="nil"/>
              <w:left w:val="nil"/>
              <w:bottom w:val="nil"/>
              <w:right w:val="nil"/>
            </w:tcBorders>
            <w:shd w:val="clear" w:color="000000" w:fill="FFFFFF"/>
            <w:noWrap/>
            <w:tcMar>
              <w:top w:w="15" w:type="dxa"/>
              <w:left w:w="15" w:type="dxa"/>
              <w:bottom w:w="0" w:type="dxa"/>
              <w:right w:w="15" w:type="dxa"/>
            </w:tcMar>
            <w:vAlign w:val="center"/>
          </w:tcPr>
          <w:p>
            <w:pPr>
              <w:rPr>
                <w:rFonts w:cs="Arial"/>
                <w:sz w:val="18"/>
                <w:szCs w:val="18"/>
              </w:rPr>
            </w:pPr>
            <w:r>
              <w:rPr>
                <w:rFonts w:hint="eastAsia" w:cs="Arial"/>
                <w:sz w:val="18"/>
                <w:szCs w:val="18"/>
              </w:rPr>
              <w:t>　</w:t>
            </w:r>
          </w:p>
        </w:tc>
        <w:tc>
          <w:tcPr>
            <w:tcW w:w="699" w:type="pct"/>
            <w:tcBorders>
              <w:top w:val="nil"/>
              <w:left w:val="nil"/>
              <w:bottom w:val="nil"/>
              <w:right w:val="nil"/>
            </w:tcBorders>
            <w:shd w:val="clear" w:color="000000" w:fill="FFFFFF"/>
            <w:noWrap/>
            <w:tcMar>
              <w:top w:w="15" w:type="dxa"/>
              <w:left w:w="15" w:type="dxa"/>
              <w:bottom w:w="0" w:type="dxa"/>
              <w:right w:w="15" w:type="dxa"/>
            </w:tcMar>
            <w:vAlign w:val="center"/>
          </w:tcPr>
          <w:p>
            <w:pPr>
              <w:rPr>
                <w:rFonts w:cs="Arial"/>
                <w:sz w:val="18"/>
                <w:szCs w:val="18"/>
              </w:rPr>
            </w:pPr>
            <w:r>
              <w:rPr>
                <w:rFonts w:hint="eastAsia" w:cs="Arial"/>
                <w:sz w:val="18"/>
                <w:szCs w:val="18"/>
              </w:rPr>
              <w:t>　</w:t>
            </w:r>
          </w:p>
        </w:tc>
        <w:tc>
          <w:tcPr>
            <w:tcW w:w="311" w:type="pct"/>
            <w:tcBorders>
              <w:top w:val="nil"/>
              <w:left w:val="nil"/>
              <w:bottom w:val="nil"/>
              <w:right w:val="nil"/>
            </w:tcBorders>
            <w:shd w:val="clear" w:color="000000" w:fill="FFFFFF"/>
            <w:noWrap/>
            <w:tcMar>
              <w:top w:w="15" w:type="dxa"/>
              <w:left w:w="15" w:type="dxa"/>
              <w:bottom w:w="0" w:type="dxa"/>
              <w:right w:w="15" w:type="dxa"/>
            </w:tcMar>
            <w:vAlign w:val="center"/>
          </w:tcPr>
          <w:p>
            <w:pPr>
              <w:rPr>
                <w:rFonts w:cs="Arial"/>
                <w:sz w:val="18"/>
                <w:szCs w:val="18"/>
              </w:rPr>
            </w:pPr>
            <w:r>
              <w:rPr>
                <w:rFonts w:hint="eastAsia" w:cs="Arial"/>
                <w:sz w:val="18"/>
                <w:szCs w:val="18"/>
              </w:rPr>
              <w:t>　</w:t>
            </w:r>
          </w:p>
        </w:tc>
        <w:tc>
          <w:tcPr>
            <w:tcW w:w="601" w:type="pct"/>
            <w:tcBorders>
              <w:top w:val="nil"/>
              <w:left w:val="nil"/>
              <w:bottom w:val="nil"/>
              <w:right w:val="nil"/>
            </w:tcBorders>
            <w:shd w:val="clear" w:color="000000" w:fill="FFFFFF"/>
            <w:noWrap/>
            <w:tcMar>
              <w:top w:w="15" w:type="dxa"/>
              <w:left w:w="15" w:type="dxa"/>
              <w:bottom w:w="0" w:type="dxa"/>
              <w:right w:w="15" w:type="dxa"/>
            </w:tcMar>
            <w:vAlign w:val="center"/>
          </w:tcPr>
          <w:p>
            <w:pPr>
              <w:rPr>
                <w:rFonts w:cs="Arial"/>
                <w:sz w:val="18"/>
                <w:szCs w:val="18"/>
              </w:rPr>
            </w:pPr>
            <w:r>
              <w:rPr>
                <w:rFonts w:hint="eastAsia" w:cs="Arial"/>
                <w:sz w:val="18"/>
                <w:szCs w:val="18"/>
              </w:rPr>
              <w:t>　</w:t>
            </w:r>
          </w:p>
        </w:tc>
        <w:tc>
          <w:tcPr>
            <w:tcW w:w="1137" w:type="pct"/>
            <w:tcBorders>
              <w:top w:val="nil"/>
              <w:left w:val="nil"/>
              <w:bottom w:val="nil"/>
              <w:right w:val="single" w:color="808080" w:sz="4" w:space="0"/>
            </w:tcBorders>
            <w:shd w:val="clear" w:color="000000" w:fill="FFFFFF"/>
            <w:noWrap/>
            <w:tcMar>
              <w:top w:w="15" w:type="dxa"/>
              <w:left w:w="15" w:type="dxa"/>
              <w:bottom w:w="0" w:type="dxa"/>
              <w:right w:w="15" w:type="dxa"/>
            </w:tcMar>
            <w:vAlign w:val="center"/>
          </w:tcPr>
          <w:p>
            <w:pPr>
              <w:jc w:val="right"/>
              <w:rPr>
                <w:rFonts w:cs="Arial"/>
                <w:color w:val="000000"/>
                <w:sz w:val="22"/>
                <w:szCs w:val="22"/>
              </w:rPr>
            </w:pPr>
            <w:r>
              <w:rPr>
                <w:rFonts w:hint="eastAsia" w:cs="Arial"/>
                <w:color w:val="000000"/>
                <w:sz w:val="22"/>
                <w:szCs w:val="22"/>
              </w:rPr>
              <w:t>公开09表</w:t>
            </w:r>
          </w:p>
        </w:tc>
      </w:tr>
      <w:tr>
        <w:tblPrEx>
          <w:tblCellMar>
            <w:top w:w="0" w:type="dxa"/>
            <w:left w:w="0" w:type="dxa"/>
            <w:bottom w:w="0" w:type="dxa"/>
            <w:right w:w="0" w:type="dxa"/>
          </w:tblCellMar>
        </w:tblPrEx>
        <w:trPr>
          <w:trHeight w:val="300" w:hRule="atLeast"/>
        </w:trPr>
        <w:tc>
          <w:tcPr>
            <w:tcW w:w="2252" w:type="pct"/>
            <w:gridSpan w:val="3"/>
            <w:tcBorders>
              <w:top w:val="nil"/>
              <w:left w:val="nil"/>
              <w:bottom w:val="single" w:color="808080" w:sz="4" w:space="0"/>
              <w:right w:val="nil"/>
            </w:tcBorders>
            <w:shd w:val="clear" w:color="000000" w:fill="FFFFFF"/>
            <w:noWrap/>
            <w:tcMar>
              <w:top w:w="15" w:type="dxa"/>
              <w:left w:w="15" w:type="dxa"/>
              <w:bottom w:w="0" w:type="dxa"/>
              <w:right w:w="15" w:type="dxa"/>
            </w:tcMar>
            <w:vAlign w:val="center"/>
          </w:tcPr>
          <w:p>
            <w:pPr>
              <w:rPr>
                <w:rFonts w:cs="Arial"/>
                <w:color w:val="000000"/>
                <w:sz w:val="22"/>
                <w:szCs w:val="22"/>
              </w:rPr>
            </w:pPr>
            <w:r>
              <w:rPr>
                <w:rFonts w:hint="eastAsia" w:cs="Arial"/>
                <w:color w:val="000000"/>
                <w:sz w:val="22"/>
                <w:szCs w:val="22"/>
              </w:rPr>
              <w:t>部门：常德市武陵区人民检察院</w:t>
            </w:r>
          </w:p>
        </w:tc>
        <w:tc>
          <w:tcPr>
            <w:tcW w:w="699" w:type="pct"/>
            <w:tcBorders>
              <w:top w:val="nil"/>
              <w:left w:val="nil"/>
              <w:bottom w:val="single" w:color="808080" w:sz="4" w:space="0"/>
              <w:right w:val="nil"/>
            </w:tcBorders>
            <w:shd w:val="clear" w:color="000000" w:fill="FFFFFF"/>
            <w:noWrap/>
            <w:tcMar>
              <w:top w:w="15" w:type="dxa"/>
              <w:left w:w="15" w:type="dxa"/>
              <w:bottom w:w="0" w:type="dxa"/>
              <w:right w:w="15" w:type="dxa"/>
            </w:tcMar>
            <w:vAlign w:val="center"/>
          </w:tcPr>
          <w:p>
            <w:pPr>
              <w:jc w:val="center"/>
              <w:rPr>
                <w:rFonts w:cs="Arial"/>
                <w:color w:val="000000"/>
                <w:sz w:val="22"/>
                <w:szCs w:val="22"/>
              </w:rPr>
            </w:pPr>
            <w:r>
              <w:rPr>
                <w:rFonts w:hint="eastAsia" w:cs="Arial"/>
                <w:color w:val="000000"/>
                <w:sz w:val="22"/>
                <w:szCs w:val="22"/>
              </w:rPr>
              <w:t>2020年度</w:t>
            </w:r>
          </w:p>
        </w:tc>
        <w:tc>
          <w:tcPr>
            <w:tcW w:w="311" w:type="pct"/>
            <w:tcBorders>
              <w:top w:val="nil"/>
              <w:left w:val="nil"/>
              <w:bottom w:val="single" w:color="808080" w:sz="4" w:space="0"/>
              <w:right w:val="nil"/>
            </w:tcBorders>
            <w:shd w:val="clear" w:color="000000" w:fill="FFFFFF"/>
            <w:noWrap/>
            <w:tcMar>
              <w:top w:w="15" w:type="dxa"/>
              <w:left w:w="15" w:type="dxa"/>
              <w:bottom w:w="0" w:type="dxa"/>
              <w:right w:w="15" w:type="dxa"/>
            </w:tcMar>
            <w:vAlign w:val="center"/>
          </w:tcPr>
          <w:p>
            <w:pPr>
              <w:rPr>
                <w:rFonts w:cs="Arial"/>
                <w:sz w:val="18"/>
                <w:szCs w:val="18"/>
              </w:rPr>
            </w:pPr>
            <w:r>
              <w:rPr>
                <w:rFonts w:hint="eastAsia" w:cs="Arial"/>
                <w:sz w:val="18"/>
                <w:szCs w:val="18"/>
              </w:rPr>
              <w:t>　</w:t>
            </w:r>
          </w:p>
        </w:tc>
        <w:tc>
          <w:tcPr>
            <w:tcW w:w="601" w:type="pct"/>
            <w:tcBorders>
              <w:top w:val="nil"/>
              <w:left w:val="nil"/>
              <w:bottom w:val="single" w:color="808080" w:sz="4" w:space="0"/>
              <w:right w:val="nil"/>
            </w:tcBorders>
            <w:shd w:val="clear" w:color="000000" w:fill="FFFFFF"/>
            <w:noWrap/>
            <w:tcMar>
              <w:top w:w="15" w:type="dxa"/>
              <w:left w:w="15" w:type="dxa"/>
              <w:bottom w:w="0" w:type="dxa"/>
              <w:right w:w="15" w:type="dxa"/>
            </w:tcMar>
            <w:vAlign w:val="center"/>
          </w:tcPr>
          <w:p>
            <w:pPr>
              <w:rPr>
                <w:rFonts w:cs="Arial"/>
                <w:sz w:val="18"/>
                <w:szCs w:val="18"/>
              </w:rPr>
            </w:pPr>
            <w:r>
              <w:rPr>
                <w:rFonts w:hint="eastAsia" w:cs="Arial"/>
                <w:sz w:val="18"/>
                <w:szCs w:val="18"/>
              </w:rPr>
              <w:t>　</w:t>
            </w:r>
          </w:p>
        </w:tc>
        <w:tc>
          <w:tcPr>
            <w:tcW w:w="1137" w:type="pct"/>
            <w:tcBorders>
              <w:top w:val="nil"/>
              <w:left w:val="nil"/>
              <w:bottom w:val="single" w:color="808080" w:sz="4" w:space="0"/>
              <w:right w:val="single" w:color="808080" w:sz="4" w:space="0"/>
            </w:tcBorders>
            <w:shd w:val="clear" w:color="000000" w:fill="FFFFFF"/>
            <w:noWrap/>
            <w:tcMar>
              <w:top w:w="15" w:type="dxa"/>
              <w:left w:w="15" w:type="dxa"/>
              <w:bottom w:w="0" w:type="dxa"/>
              <w:right w:w="15" w:type="dxa"/>
            </w:tcMar>
            <w:vAlign w:val="center"/>
          </w:tcPr>
          <w:p>
            <w:pPr>
              <w:jc w:val="right"/>
              <w:rPr>
                <w:rFonts w:cs="Arial"/>
                <w:color w:val="000000"/>
                <w:sz w:val="22"/>
                <w:szCs w:val="22"/>
              </w:rPr>
            </w:pPr>
            <w:r>
              <w:rPr>
                <w:rFonts w:hint="eastAsia" w:cs="Arial"/>
                <w:color w:val="000000"/>
                <w:sz w:val="22"/>
                <w:szCs w:val="22"/>
              </w:rPr>
              <w:t>金额单位：万元</w:t>
            </w:r>
          </w:p>
        </w:tc>
      </w:tr>
      <w:tr>
        <w:tblPrEx>
          <w:tblCellMar>
            <w:top w:w="0" w:type="dxa"/>
            <w:left w:w="0" w:type="dxa"/>
            <w:bottom w:w="0" w:type="dxa"/>
            <w:right w:w="0" w:type="dxa"/>
          </w:tblCellMar>
        </w:tblPrEx>
        <w:trPr>
          <w:trHeight w:val="300" w:hRule="atLeast"/>
        </w:trPr>
        <w:tc>
          <w:tcPr>
            <w:tcW w:w="2951" w:type="pct"/>
            <w:gridSpan w:val="4"/>
            <w:tcBorders>
              <w:top w:val="nil"/>
              <w:left w:val="single" w:color="000000" w:sz="4" w:space="0"/>
              <w:bottom w:val="single" w:color="000000" w:sz="4" w:space="0"/>
              <w:right w:val="single" w:color="000000" w:sz="4" w:space="0"/>
            </w:tcBorders>
            <w:shd w:val="clear" w:color="000000" w:fill="C0C0C0"/>
            <w:noWrap/>
            <w:tcMar>
              <w:top w:w="15" w:type="dxa"/>
              <w:left w:w="15" w:type="dxa"/>
              <w:bottom w:w="0" w:type="dxa"/>
              <w:right w:w="15" w:type="dxa"/>
            </w:tcMar>
            <w:vAlign w:val="center"/>
          </w:tcPr>
          <w:p>
            <w:pPr>
              <w:rPr>
                <w:rFonts w:cs="Arial"/>
                <w:sz w:val="20"/>
                <w:szCs w:val="20"/>
              </w:rPr>
            </w:pPr>
            <w:r>
              <w:rPr>
                <w:rFonts w:hint="eastAsia" w:cs="Arial"/>
                <w:sz w:val="20"/>
                <w:szCs w:val="20"/>
              </w:rPr>
              <w:t>项目</w:t>
            </w:r>
          </w:p>
        </w:tc>
        <w:tc>
          <w:tcPr>
            <w:tcW w:w="2049" w:type="pct"/>
            <w:gridSpan w:val="3"/>
            <w:tcBorders>
              <w:top w:val="nil"/>
              <w:left w:val="nil"/>
              <w:bottom w:val="single" w:color="000000" w:sz="4" w:space="0"/>
              <w:right w:val="single" w:color="000000" w:sz="4" w:space="0"/>
            </w:tcBorders>
            <w:shd w:val="clear" w:color="000000" w:fill="C0C0C0"/>
            <w:tcMar>
              <w:top w:w="15" w:type="dxa"/>
              <w:left w:w="15" w:type="dxa"/>
              <w:bottom w:w="0" w:type="dxa"/>
              <w:right w:w="15" w:type="dxa"/>
            </w:tcMar>
            <w:vAlign w:val="center"/>
          </w:tcPr>
          <w:p>
            <w:pPr>
              <w:jc w:val="center"/>
              <w:rPr>
                <w:rFonts w:cs="Arial"/>
                <w:sz w:val="20"/>
                <w:szCs w:val="20"/>
              </w:rPr>
            </w:pPr>
            <w:r>
              <w:rPr>
                <w:rFonts w:hint="eastAsia" w:cs="Arial"/>
                <w:sz w:val="20"/>
                <w:szCs w:val="20"/>
              </w:rPr>
              <w:t>本年支出</w:t>
            </w:r>
          </w:p>
        </w:tc>
      </w:tr>
      <w:tr>
        <w:tblPrEx>
          <w:tblCellMar>
            <w:top w:w="0" w:type="dxa"/>
            <w:left w:w="0" w:type="dxa"/>
            <w:bottom w:w="0" w:type="dxa"/>
            <w:right w:w="0" w:type="dxa"/>
          </w:tblCellMar>
        </w:tblPrEx>
        <w:trPr>
          <w:trHeight w:val="300" w:hRule="atLeast"/>
        </w:trPr>
        <w:tc>
          <w:tcPr>
            <w:tcW w:w="2252" w:type="pct"/>
            <w:gridSpan w:val="3"/>
            <w:vMerge w:val="restart"/>
            <w:tcBorders>
              <w:top w:val="nil"/>
              <w:left w:val="single" w:color="000000" w:sz="4" w:space="0"/>
              <w:bottom w:val="single" w:color="000000" w:sz="4" w:space="0"/>
              <w:right w:val="single" w:color="000000" w:sz="4" w:space="0"/>
            </w:tcBorders>
            <w:shd w:val="clear" w:color="000000" w:fill="C0C0C0"/>
            <w:tcMar>
              <w:top w:w="15" w:type="dxa"/>
              <w:left w:w="15" w:type="dxa"/>
              <w:bottom w:w="0" w:type="dxa"/>
              <w:right w:w="15" w:type="dxa"/>
            </w:tcMar>
            <w:vAlign w:val="center"/>
          </w:tcPr>
          <w:p>
            <w:pPr>
              <w:jc w:val="center"/>
              <w:rPr>
                <w:rFonts w:cs="Arial"/>
                <w:sz w:val="20"/>
                <w:szCs w:val="20"/>
              </w:rPr>
            </w:pPr>
            <w:r>
              <w:rPr>
                <w:rFonts w:hint="eastAsia" w:cs="Arial"/>
                <w:sz w:val="20"/>
                <w:szCs w:val="20"/>
              </w:rPr>
              <w:t>功能分类科目编码</w:t>
            </w:r>
          </w:p>
        </w:tc>
        <w:tc>
          <w:tcPr>
            <w:tcW w:w="699" w:type="pct"/>
            <w:vMerge w:val="restart"/>
            <w:tcBorders>
              <w:top w:val="nil"/>
              <w:left w:val="nil"/>
              <w:bottom w:val="single" w:color="000000" w:sz="4" w:space="0"/>
              <w:right w:val="single" w:color="000000" w:sz="4" w:space="0"/>
            </w:tcBorders>
            <w:shd w:val="clear" w:color="000000" w:fill="C0C0C0"/>
            <w:noWrap/>
            <w:tcMar>
              <w:top w:w="15" w:type="dxa"/>
              <w:left w:w="15" w:type="dxa"/>
              <w:bottom w:w="0" w:type="dxa"/>
              <w:right w:w="15" w:type="dxa"/>
            </w:tcMar>
            <w:vAlign w:val="center"/>
          </w:tcPr>
          <w:p>
            <w:pPr>
              <w:jc w:val="center"/>
              <w:rPr>
                <w:rFonts w:cs="Arial"/>
                <w:sz w:val="20"/>
                <w:szCs w:val="20"/>
              </w:rPr>
            </w:pPr>
            <w:r>
              <w:rPr>
                <w:rFonts w:hint="eastAsia" w:cs="Arial"/>
                <w:sz w:val="20"/>
                <w:szCs w:val="20"/>
              </w:rPr>
              <w:t>科目名称</w:t>
            </w:r>
          </w:p>
        </w:tc>
        <w:tc>
          <w:tcPr>
            <w:tcW w:w="311" w:type="pct"/>
            <w:vMerge w:val="restart"/>
            <w:tcBorders>
              <w:top w:val="nil"/>
              <w:left w:val="nil"/>
              <w:bottom w:val="single" w:color="000000" w:sz="4" w:space="0"/>
              <w:right w:val="single" w:color="000000" w:sz="4" w:space="0"/>
            </w:tcBorders>
            <w:shd w:val="clear" w:color="000000" w:fill="C0C0C0"/>
            <w:tcMar>
              <w:top w:w="15" w:type="dxa"/>
              <w:left w:w="15" w:type="dxa"/>
              <w:bottom w:w="0" w:type="dxa"/>
              <w:right w:w="15" w:type="dxa"/>
            </w:tcMar>
            <w:vAlign w:val="center"/>
          </w:tcPr>
          <w:p>
            <w:pPr>
              <w:jc w:val="center"/>
              <w:rPr>
                <w:rFonts w:cs="Arial"/>
                <w:sz w:val="20"/>
                <w:szCs w:val="20"/>
              </w:rPr>
            </w:pPr>
            <w:r>
              <w:rPr>
                <w:rFonts w:hint="eastAsia" w:cs="Arial"/>
                <w:sz w:val="20"/>
                <w:szCs w:val="20"/>
              </w:rPr>
              <w:t>合计</w:t>
            </w:r>
          </w:p>
        </w:tc>
        <w:tc>
          <w:tcPr>
            <w:tcW w:w="601" w:type="pct"/>
            <w:vMerge w:val="restart"/>
            <w:tcBorders>
              <w:top w:val="nil"/>
              <w:left w:val="nil"/>
              <w:bottom w:val="single" w:color="000000" w:sz="4" w:space="0"/>
              <w:right w:val="single" w:color="000000" w:sz="4" w:space="0"/>
            </w:tcBorders>
            <w:shd w:val="clear" w:color="000000" w:fill="C0C0C0"/>
            <w:tcMar>
              <w:top w:w="15" w:type="dxa"/>
              <w:left w:w="15" w:type="dxa"/>
              <w:bottom w:w="0" w:type="dxa"/>
              <w:right w:w="15" w:type="dxa"/>
            </w:tcMar>
            <w:vAlign w:val="center"/>
          </w:tcPr>
          <w:p>
            <w:pPr>
              <w:jc w:val="center"/>
              <w:rPr>
                <w:rFonts w:cs="Arial"/>
                <w:sz w:val="20"/>
                <w:szCs w:val="20"/>
              </w:rPr>
            </w:pPr>
            <w:r>
              <w:rPr>
                <w:rFonts w:hint="eastAsia" w:cs="Arial"/>
                <w:sz w:val="20"/>
                <w:szCs w:val="20"/>
              </w:rPr>
              <w:t>基本支出</w:t>
            </w:r>
          </w:p>
        </w:tc>
        <w:tc>
          <w:tcPr>
            <w:tcW w:w="1137" w:type="pct"/>
            <w:vMerge w:val="restart"/>
            <w:tcBorders>
              <w:top w:val="nil"/>
              <w:left w:val="nil"/>
              <w:bottom w:val="single" w:color="000000" w:sz="4" w:space="0"/>
              <w:right w:val="single" w:color="000000" w:sz="4" w:space="0"/>
            </w:tcBorders>
            <w:shd w:val="clear" w:color="000000" w:fill="C0C0C0"/>
            <w:tcMar>
              <w:top w:w="15" w:type="dxa"/>
              <w:left w:w="15" w:type="dxa"/>
              <w:bottom w:w="0" w:type="dxa"/>
              <w:right w:w="15" w:type="dxa"/>
            </w:tcMar>
            <w:vAlign w:val="center"/>
          </w:tcPr>
          <w:p>
            <w:pPr>
              <w:jc w:val="center"/>
              <w:rPr>
                <w:rFonts w:cs="Arial"/>
                <w:sz w:val="20"/>
                <w:szCs w:val="20"/>
              </w:rPr>
            </w:pPr>
            <w:r>
              <w:rPr>
                <w:rFonts w:hint="eastAsia" w:cs="Arial"/>
                <w:sz w:val="20"/>
                <w:szCs w:val="20"/>
              </w:rPr>
              <w:t>项目支出</w:t>
            </w:r>
          </w:p>
        </w:tc>
      </w:tr>
      <w:tr>
        <w:tblPrEx>
          <w:tblCellMar>
            <w:top w:w="0" w:type="dxa"/>
            <w:left w:w="0" w:type="dxa"/>
            <w:bottom w:w="0" w:type="dxa"/>
            <w:right w:w="0" w:type="dxa"/>
          </w:tblCellMar>
        </w:tblPrEx>
        <w:trPr>
          <w:trHeight w:val="300" w:hRule="atLeast"/>
        </w:trPr>
        <w:tc>
          <w:tcPr>
            <w:tcW w:w="2252" w:type="pct"/>
            <w:gridSpan w:val="3"/>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699" w:type="pct"/>
            <w:vMerge w:val="continue"/>
            <w:tcBorders>
              <w:top w:val="nil"/>
              <w:left w:val="nil"/>
              <w:bottom w:val="single" w:color="000000" w:sz="4" w:space="0"/>
              <w:right w:val="single" w:color="000000" w:sz="4" w:space="0"/>
            </w:tcBorders>
            <w:vAlign w:val="center"/>
          </w:tcPr>
          <w:p>
            <w:pPr>
              <w:rPr>
                <w:rFonts w:cs="Arial"/>
                <w:sz w:val="20"/>
                <w:szCs w:val="20"/>
              </w:rPr>
            </w:pPr>
          </w:p>
        </w:tc>
        <w:tc>
          <w:tcPr>
            <w:tcW w:w="311" w:type="pct"/>
            <w:vMerge w:val="continue"/>
            <w:tcBorders>
              <w:top w:val="nil"/>
              <w:left w:val="nil"/>
              <w:bottom w:val="single" w:color="000000" w:sz="4" w:space="0"/>
              <w:right w:val="single" w:color="000000" w:sz="4" w:space="0"/>
            </w:tcBorders>
            <w:vAlign w:val="center"/>
          </w:tcPr>
          <w:p>
            <w:pPr>
              <w:rPr>
                <w:rFonts w:cs="Arial"/>
                <w:sz w:val="20"/>
                <w:szCs w:val="20"/>
              </w:rPr>
            </w:pPr>
          </w:p>
        </w:tc>
        <w:tc>
          <w:tcPr>
            <w:tcW w:w="601" w:type="pct"/>
            <w:vMerge w:val="continue"/>
            <w:tcBorders>
              <w:top w:val="nil"/>
              <w:left w:val="nil"/>
              <w:bottom w:val="single" w:color="000000" w:sz="4" w:space="0"/>
              <w:right w:val="single" w:color="000000" w:sz="4" w:space="0"/>
            </w:tcBorders>
            <w:vAlign w:val="center"/>
          </w:tcPr>
          <w:p>
            <w:pPr>
              <w:rPr>
                <w:rFonts w:cs="Arial"/>
                <w:sz w:val="20"/>
                <w:szCs w:val="20"/>
              </w:rPr>
            </w:pPr>
          </w:p>
        </w:tc>
        <w:tc>
          <w:tcPr>
            <w:tcW w:w="1137" w:type="pct"/>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0" w:type="dxa"/>
            <w:bottom w:w="0" w:type="dxa"/>
            <w:right w:w="0" w:type="dxa"/>
          </w:tblCellMar>
        </w:tblPrEx>
        <w:trPr>
          <w:trHeight w:val="300" w:hRule="atLeast"/>
        </w:trPr>
        <w:tc>
          <w:tcPr>
            <w:tcW w:w="2252" w:type="pct"/>
            <w:gridSpan w:val="3"/>
            <w:vMerge w:val="continue"/>
            <w:tcBorders>
              <w:top w:val="nil"/>
              <w:left w:val="single" w:color="000000" w:sz="4" w:space="0"/>
              <w:bottom w:val="single" w:color="000000" w:sz="4" w:space="0"/>
              <w:right w:val="single" w:color="000000" w:sz="4" w:space="0"/>
            </w:tcBorders>
            <w:vAlign w:val="center"/>
          </w:tcPr>
          <w:p>
            <w:pPr>
              <w:rPr>
                <w:rFonts w:cs="Arial"/>
                <w:sz w:val="20"/>
                <w:szCs w:val="20"/>
              </w:rPr>
            </w:pPr>
          </w:p>
        </w:tc>
        <w:tc>
          <w:tcPr>
            <w:tcW w:w="699" w:type="pct"/>
            <w:vMerge w:val="continue"/>
            <w:tcBorders>
              <w:top w:val="nil"/>
              <w:left w:val="nil"/>
              <w:bottom w:val="single" w:color="000000" w:sz="4" w:space="0"/>
              <w:right w:val="single" w:color="000000" w:sz="4" w:space="0"/>
            </w:tcBorders>
            <w:vAlign w:val="center"/>
          </w:tcPr>
          <w:p>
            <w:pPr>
              <w:rPr>
                <w:rFonts w:cs="Arial"/>
                <w:sz w:val="20"/>
                <w:szCs w:val="20"/>
              </w:rPr>
            </w:pPr>
          </w:p>
        </w:tc>
        <w:tc>
          <w:tcPr>
            <w:tcW w:w="311" w:type="pct"/>
            <w:vMerge w:val="continue"/>
            <w:tcBorders>
              <w:top w:val="nil"/>
              <w:left w:val="nil"/>
              <w:bottom w:val="single" w:color="000000" w:sz="4" w:space="0"/>
              <w:right w:val="single" w:color="000000" w:sz="4" w:space="0"/>
            </w:tcBorders>
            <w:vAlign w:val="center"/>
          </w:tcPr>
          <w:p>
            <w:pPr>
              <w:rPr>
                <w:rFonts w:cs="Arial"/>
                <w:sz w:val="20"/>
                <w:szCs w:val="20"/>
              </w:rPr>
            </w:pPr>
          </w:p>
        </w:tc>
        <w:tc>
          <w:tcPr>
            <w:tcW w:w="601" w:type="pct"/>
            <w:vMerge w:val="continue"/>
            <w:tcBorders>
              <w:top w:val="nil"/>
              <w:left w:val="nil"/>
              <w:bottom w:val="single" w:color="000000" w:sz="4" w:space="0"/>
              <w:right w:val="single" w:color="000000" w:sz="4" w:space="0"/>
            </w:tcBorders>
            <w:vAlign w:val="center"/>
          </w:tcPr>
          <w:p>
            <w:pPr>
              <w:rPr>
                <w:rFonts w:cs="Arial"/>
                <w:sz w:val="20"/>
                <w:szCs w:val="20"/>
              </w:rPr>
            </w:pPr>
          </w:p>
        </w:tc>
        <w:tc>
          <w:tcPr>
            <w:tcW w:w="1137" w:type="pct"/>
            <w:vMerge w:val="continue"/>
            <w:tcBorders>
              <w:top w:val="nil"/>
              <w:left w:val="nil"/>
              <w:bottom w:val="single" w:color="000000" w:sz="4" w:space="0"/>
              <w:right w:val="single" w:color="000000" w:sz="4" w:space="0"/>
            </w:tcBorders>
            <w:vAlign w:val="center"/>
          </w:tcPr>
          <w:p>
            <w:pPr>
              <w:rPr>
                <w:rFonts w:cs="Arial"/>
                <w:sz w:val="20"/>
                <w:szCs w:val="20"/>
              </w:rPr>
            </w:pPr>
          </w:p>
        </w:tc>
      </w:tr>
      <w:tr>
        <w:tblPrEx>
          <w:tblCellMar>
            <w:top w:w="0" w:type="dxa"/>
            <w:left w:w="0" w:type="dxa"/>
            <w:bottom w:w="0" w:type="dxa"/>
            <w:right w:w="0" w:type="dxa"/>
          </w:tblCellMar>
        </w:tblPrEx>
        <w:trPr>
          <w:trHeight w:val="300" w:hRule="atLeast"/>
        </w:trPr>
        <w:tc>
          <w:tcPr>
            <w:tcW w:w="2951" w:type="pct"/>
            <w:gridSpan w:val="4"/>
            <w:tcBorders>
              <w:top w:val="nil"/>
              <w:left w:val="single" w:color="000000" w:sz="4" w:space="0"/>
              <w:bottom w:val="single" w:color="000000" w:sz="4" w:space="0"/>
              <w:right w:val="single" w:color="000000" w:sz="4" w:space="0"/>
            </w:tcBorders>
            <w:shd w:val="clear" w:color="000000" w:fill="C0C0C0"/>
            <w:noWrap/>
            <w:tcMar>
              <w:top w:w="15" w:type="dxa"/>
              <w:left w:w="15" w:type="dxa"/>
              <w:bottom w:w="0" w:type="dxa"/>
              <w:right w:w="15" w:type="dxa"/>
            </w:tcMar>
            <w:vAlign w:val="center"/>
          </w:tcPr>
          <w:p>
            <w:pPr>
              <w:jc w:val="center"/>
              <w:rPr>
                <w:rFonts w:cs="Arial"/>
                <w:sz w:val="20"/>
                <w:szCs w:val="20"/>
              </w:rPr>
            </w:pPr>
            <w:r>
              <w:rPr>
                <w:rFonts w:hint="eastAsia" w:cs="Arial"/>
                <w:sz w:val="20"/>
                <w:szCs w:val="20"/>
              </w:rPr>
              <w:t>栏次</w:t>
            </w:r>
          </w:p>
        </w:tc>
        <w:tc>
          <w:tcPr>
            <w:tcW w:w="311" w:type="pct"/>
            <w:tcBorders>
              <w:top w:val="nil"/>
              <w:left w:val="nil"/>
              <w:bottom w:val="single" w:color="000000" w:sz="4" w:space="0"/>
              <w:right w:val="single" w:color="000000" w:sz="4" w:space="0"/>
            </w:tcBorders>
            <w:shd w:val="clear" w:color="000000" w:fill="C0C0C0"/>
            <w:noWrap/>
            <w:tcMar>
              <w:top w:w="15" w:type="dxa"/>
              <w:left w:w="15" w:type="dxa"/>
              <w:bottom w:w="0" w:type="dxa"/>
              <w:right w:w="15" w:type="dxa"/>
            </w:tcMar>
            <w:vAlign w:val="center"/>
          </w:tcPr>
          <w:p>
            <w:pPr>
              <w:jc w:val="center"/>
              <w:rPr>
                <w:rFonts w:cs="Arial"/>
                <w:sz w:val="20"/>
                <w:szCs w:val="20"/>
              </w:rPr>
            </w:pPr>
            <w:r>
              <w:rPr>
                <w:rFonts w:hint="eastAsia" w:cs="Arial"/>
                <w:sz w:val="20"/>
                <w:szCs w:val="20"/>
              </w:rPr>
              <w:t>1</w:t>
            </w:r>
          </w:p>
        </w:tc>
        <w:tc>
          <w:tcPr>
            <w:tcW w:w="601" w:type="pct"/>
            <w:tcBorders>
              <w:top w:val="nil"/>
              <w:left w:val="nil"/>
              <w:bottom w:val="single" w:color="000000" w:sz="4" w:space="0"/>
              <w:right w:val="single" w:color="000000" w:sz="4" w:space="0"/>
            </w:tcBorders>
            <w:shd w:val="clear" w:color="000000" w:fill="C0C0C0"/>
            <w:noWrap/>
            <w:tcMar>
              <w:top w:w="15" w:type="dxa"/>
              <w:left w:w="15" w:type="dxa"/>
              <w:bottom w:w="0" w:type="dxa"/>
              <w:right w:w="15" w:type="dxa"/>
            </w:tcMar>
            <w:vAlign w:val="center"/>
          </w:tcPr>
          <w:p>
            <w:pPr>
              <w:jc w:val="center"/>
              <w:rPr>
                <w:rFonts w:cs="Arial"/>
                <w:sz w:val="20"/>
                <w:szCs w:val="20"/>
              </w:rPr>
            </w:pPr>
            <w:r>
              <w:rPr>
                <w:rFonts w:hint="eastAsia" w:cs="Arial"/>
                <w:sz w:val="20"/>
                <w:szCs w:val="20"/>
              </w:rPr>
              <w:t>2</w:t>
            </w:r>
          </w:p>
        </w:tc>
        <w:tc>
          <w:tcPr>
            <w:tcW w:w="1137" w:type="pct"/>
            <w:tcBorders>
              <w:top w:val="nil"/>
              <w:left w:val="nil"/>
              <w:bottom w:val="single" w:color="000000" w:sz="4" w:space="0"/>
              <w:right w:val="single" w:color="000000" w:sz="4" w:space="0"/>
            </w:tcBorders>
            <w:shd w:val="clear" w:color="000000" w:fill="C0C0C0"/>
            <w:noWrap/>
            <w:tcMar>
              <w:top w:w="15" w:type="dxa"/>
              <w:left w:w="15" w:type="dxa"/>
              <w:bottom w:w="0" w:type="dxa"/>
              <w:right w:w="15" w:type="dxa"/>
            </w:tcMar>
            <w:vAlign w:val="center"/>
          </w:tcPr>
          <w:p>
            <w:pPr>
              <w:jc w:val="center"/>
              <w:rPr>
                <w:rFonts w:cs="Arial"/>
                <w:sz w:val="20"/>
                <w:szCs w:val="20"/>
              </w:rPr>
            </w:pPr>
            <w:r>
              <w:rPr>
                <w:rFonts w:hint="eastAsia" w:cs="Arial"/>
                <w:sz w:val="20"/>
                <w:szCs w:val="20"/>
              </w:rPr>
              <w:t>3</w:t>
            </w:r>
          </w:p>
        </w:tc>
      </w:tr>
      <w:tr>
        <w:tblPrEx>
          <w:tblCellMar>
            <w:top w:w="0" w:type="dxa"/>
            <w:left w:w="0" w:type="dxa"/>
            <w:bottom w:w="0" w:type="dxa"/>
            <w:right w:w="0" w:type="dxa"/>
          </w:tblCellMar>
        </w:tblPrEx>
        <w:trPr>
          <w:trHeight w:val="300" w:hRule="atLeast"/>
        </w:trPr>
        <w:tc>
          <w:tcPr>
            <w:tcW w:w="2951" w:type="pct"/>
            <w:gridSpan w:val="4"/>
            <w:tcBorders>
              <w:top w:val="nil"/>
              <w:left w:val="single" w:color="000000" w:sz="4" w:space="0"/>
              <w:bottom w:val="single" w:color="000000" w:sz="4" w:space="0"/>
              <w:right w:val="single" w:color="000000" w:sz="4" w:space="0"/>
            </w:tcBorders>
            <w:shd w:val="clear" w:color="000000" w:fill="C0C0C0"/>
            <w:noWrap/>
            <w:tcMar>
              <w:top w:w="15" w:type="dxa"/>
              <w:left w:w="15" w:type="dxa"/>
              <w:bottom w:w="0" w:type="dxa"/>
              <w:right w:w="15" w:type="dxa"/>
            </w:tcMar>
            <w:vAlign w:val="center"/>
          </w:tcPr>
          <w:p>
            <w:pPr>
              <w:rPr>
                <w:rFonts w:cs="Arial"/>
                <w:sz w:val="20"/>
                <w:szCs w:val="20"/>
              </w:rPr>
            </w:pPr>
            <w:r>
              <w:rPr>
                <w:rFonts w:hint="eastAsia" w:cs="Arial"/>
                <w:sz w:val="20"/>
                <w:szCs w:val="20"/>
              </w:rPr>
              <w:t>合计</w:t>
            </w:r>
          </w:p>
        </w:tc>
        <w:tc>
          <w:tcPr>
            <w:tcW w:w="523" w:type="dxa"/>
            <w:tcBorders>
              <w:top w:val="nil"/>
              <w:left w:val="nil"/>
              <w:bottom w:val="single" w:color="000000" w:sz="4" w:space="0"/>
              <w:right w:val="single" w:color="000000" w:sz="4" w:space="0"/>
            </w:tcBorders>
            <w:shd w:val="clear" w:color="000000" w:fill="00FF00"/>
            <w:noWrap/>
            <w:tcMar>
              <w:top w:w="15" w:type="dxa"/>
              <w:left w:w="15" w:type="dxa"/>
              <w:bottom w:w="0" w:type="dxa"/>
              <w:right w:w="15" w:type="dxa"/>
            </w:tcMar>
            <w:vAlign w:val="center"/>
          </w:tcPr>
          <w:p>
            <w:pPr>
              <w:jc w:val="right"/>
              <w:rPr>
                <w:rFonts w:cs="Arial"/>
                <w:b/>
                <w:bCs/>
                <w:sz w:val="20"/>
                <w:szCs w:val="20"/>
              </w:rPr>
            </w:pPr>
            <w:r>
              <w:rPr>
                <w:rFonts w:hint="eastAsia" w:cs="Arial"/>
                <w:b/>
                <w:bCs/>
                <w:sz w:val="20"/>
                <w:szCs w:val="20"/>
              </w:rPr>
              <w:t>0.00　</w:t>
            </w:r>
          </w:p>
        </w:tc>
        <w:tc>
          <w:tcPr>
            <w:tcW w:w="1004" w:type="dxa"/>
            <w:tcBorders>
              <w:top w:val="nil"/>
              <w:left w:val="nil"/>
              <w:bottom w:val="single" w:color="000000" w:sz="4" w:space="0"/>
              <w:right w:val="single" w:color="000000" w:sz="4" w:space="0"/>
            </w:tcBorders>
            <w:shd w:val="clear" w:color="000000" w:fill="00FF00"/>
            <w:noWrap/>
            <w:tcMar>
              <w:top w:w="15" w:type="dxa"/>
              <w:left w:w="15" w:type="dxa"/>
              <w:bottom w:w="0" w:type="dxa"/>
              <w:right w:w="15" w:type="dxa"/>
            </w:tcMar>
            <w:vAlign w:val="center"/>
          </w:tcPr>
          <w:p>
            <w:pPr>
              <w:jc w:val="right"/>
              <w:rPr>
                <w:rFonts w:cs="Arial"/>
                <w:b/>
                <w:bCs/>
                <w:sz w:val="20"/>
                <w:szCs w:val="20"/>
              </w:rPr>
            </w:pPr>
            <w:r>
              <w:rPr>
                <w:rFonts w:hint="eastAsia" w:cs="Arial"/>
                <w:b/>
                <w:bCs/>
                <w:sz w:val="20"/>
                <w:szCs w:val="20"/>
              </w:rPr>
              <w:t>0.00　</w:t>
            </w:r>
          </w:p>
        </w:tc>
        <w:tc>
          <w:tcPr>
            <w:tcW w:w="1892" w:type="dxa"/>
            <w:tcBorders>
              <w:top w:val="nil"/>
              <w:left w:val="nil"/>
              <w:bottom w:val="single" w:color="000000" w:sz="4" w:space="0"/>
              <w:right w:val="single" w:color="000000" w:sz="4" w:space="0"/>
            </w:tcBorders>
            <w:shd w:val="clear" w:color="000000" w:fill="00FF00"/>
            <w:noWrap/>
            <w:tcMar>
              <w:top w:w="15" w:type="dxa"/>
              <w:left w:w="15" w:type="dxa"/>
              <w:bottom w:w="0" w:type="dxa"/>
              <w:right w:w="15" w:type="dxa"/>
            </w:tcMar>
            <w:vAlign w:val="center"/>
          </w:tcPr>
          <w:p>
            <w:pPr>
              <w:jc w:val="right"/>
              <w:rPr>
                <w:rFonts w:cs="Arial"/>
                <w:b/>
                <w:bCs/>
                <w:sz w:val="20"/>
                <w:szCs w:val="20"/>
              </w:rPr>
            </w:pPr>
            <w:r>
              <w:rPr>
                <w:rFonts w:hint="eastAsia" w:cs="Arial"/>
                <w:b/>
                <w:bCs/>
                <w:sz w:val="20"/>
                <w:szCs w:val="20"/>
              </w:rPr>
              <w:t>0.00　</w:t>
            </w:r>
          </w:p>
        </w:tc>
      </w:tr>
      <w:tr>
        <w:tblPrEx>
          <w:tblCellMar>
            <w:top w:w="0" w:type="dxa"/>
            <w:left w:w="0" w:type="dxa"/>
            <w:bottom w:w="0" w:type="dxa"/>
            <w:right w:w="0" w:type="dxa"/>
          </w:tblCellMar>
        </w:tblPrEx>
        <w:trPr>
          <w:trHeight w:val="300" w:hRule="atLeast"/>
        </w:trPr>
        <w:tc>
          <w:tcPr>
            <w:tcW w:w="2252" w:type="pct"/>
            <w:gridSpan w:val="3"/>
            <w:tcBorders>
              <w:top w:val="nil"/>
              <w:left w:val="single" w:color="000000" w:sz="4" w:space="0"/>
              <w:bottom w:val="single" w:color="000000" w:sz="4" w:space="0"/>
              <w:right w:val="single" w:color="000000" w:sz="4" w:space="0"/>
            </w:tcBorders>
            <w:shd w:val="clear" w:color="000000" w:fill="FFFFFF"/>
            <w:noWrap/>
            <w:tcMar>
              <w:top w:w="15" w:type="dxa"/>
              <w:left w:w="15" w:type="dxa"/>
              <w:bottom w:w="0" w:type="dxa"/>
              <w:right w:w="15" w:type="dxa"/>
            </w:tcMar>
            <w:vAlign w:val="center"/>
          </w:tcPr>
          <w:p>
            <w:pPr>
              <w:rPr>
                <w:rFonts w:cs="Arial"/>
                <w:sz w:val="20"/>
                <w:szCs w:val="20"/>
              </w:rPr>
            </w:pPr>
            <w:r>
              <w:rPr>
                <w:rFonts w:hint="eastAsia" w:cs="Arial"/>
                <w:sz w:val="20"/>
                <w:szCs w:val="20"/>
              </w:rPr>
              <w:t>　</w:t>
            </w:r>
          </w:p>
        </w:tc>
        <w:tc>
          <w:tcPr>
            <w:tcW w:w="699" w:type="pct"/>
            <w:tcBorders>
              <w:top w:val="nil"/>
              <w:left w:val="nil"/>
              <w:bottom w:val="single" w:color="000000" w:sz="4" w:space="0"/>
              <w:right w:val="single" w:color="000000" w:sz="4" w:space="0"/>
            </w:tcBorders>
            <w:shd w:val="clear" w:color="000000" w:fill="CCFFFF"/>
            <w:noWrap/>
            <w:tcMar>
              <w:top w:w="15" w:type="dxa"/>
              <w:left w:w="15" w:type="dxa"/>
              <w:bottom w:w="0" w:type="dxa"/>
              <w:right w:w="15" w:type="dxa"/>
            </w:tcMar>
            <w:vAlign w:val="center"/>
          </w:tcPr>
          <w:p>
            <w:pPr>
              <w:rPr>
                <w:rFonts w:cs="Arial"/>
                <w:sz w:val="20"/>
                <w:szCs w:val="20"/>
              </w:rPr>
            </w:pPr>
            <w:r>
              <w:rPr>
                <w:rFonts w:hint="eastAsia" w:cs="Arial"/>
                <w:sz w:val="20"/>
                <w:szCs w:val="20"/>
              </w:rPr>
              <w:t>　</w:t>
            </w:r>
          </w:p>
        </w:tc>
        <w:tc>
          <w:tcPr>
            <w:tcW w:w="311" w:type="pct"/>
            <w:tcBorders>
              <w:top w:val="nil"/>
              <w:left w:val="nil"/>
              <w:bottom w:val="single" w:color="000000" w:sz="4" w:space="0"/>
              <w:right w:val="single" w:color="000000" w:sz="4" w:space="0"/>
            </w:tcBorders>
            <w:shd w:val="clear" w:color="000000" w:fill="FFFFFF"/>
            <w:noWrap/>
            <w:tcMar>
              <w:top w:w="15" w:type="dxa"/>
              <w:left w:w="15" w:type="dxa"/>
              <w:bottom w:w="0" w:type="dxa"/>
              <w:right w:w="15" w:type="dxa"/>
            </w:tcMar>
            <w:vAlign w:val="center"/>
          </w:tcPr>
          <w:p>
            <w:pPr>
              <w:jc w:val="right"/>
              <w:rPr>
                <w:rFonts w:cs="Arial"/>
                <w:sz w:val="20"/>
                <w:szCs w:val="20"/>
              </w:rPr>
            </w:pPr>
            <w:r>
              <w:rPr>
                <w:rFonts w:hint="eastAsia" w:cs="Arial"/>
                <w:sz w:val="20"/>
                <w:szCs w:val="20"/>
              </w:rPr>
              <w:t>　</w:t>
            </w:r>
          </w:p>
        </w:tc>
        <w:tc>
          <w:tcPr>
            <w:tcW w:w="601" w:type="pct"/>
            <w:tcBorders>
              <w:top w:val="nil"/>
              <w:left w:val="nil"/>
              <w:bottom w:val="single" w:color="000000" w:sz="4" w:space="0"/>
              <w:right w:val="single" w:color="000000" w:sz="4" w:space="0"/>
            </w:tcBorders>
            <w:shd w:val="clear" w:color="000000" w:fill="FFFFFF"/>
            <w:noWrap/>
            <w:tcMar>
              <w:top w:w="15" w:type="dxa"/>
              <w:left w:w="15" w:type="dxa"/>
              <w:bottom w:w="0" w:type="dxa"/>
              <w:right w:w="15" w:type="dxa"/>
            </w:tcMar>
            <w:vAlign w:val="center"/>
          </w:tcPr>
          <w:p>
            <w:pPr>
              <w:jc w:val="right"/>
              <w:rPr>
                <w:rFonts w:cs="Arial"/>
                <w:sz w:val="20"/>
                <w:szCs w:val="20"/>
              </w:rPr>
            </w:pPr>
            <w:r>
              <w:rPr>
                <w:rFonts w:hint="eastAsia" w:cs="Arial"/>
                <w:sz w:val="20"/>
                <w:szCs w:val="20"/>
              </w:rPr>
              <w:t>　</w:t>
            </w:r>
          </w:p>
        </w:tc>
        <w:tc>
          <w:tcPr>
            <w:tcW w:w="1137" w:type="pct"/>
            <w:tcBorders>
              <w:top w:val="nil"/>
              <w:left w:val="nil"/>
              <w:bottom w:val="single" w:color="000000" w:sz="4" w:space="0"/>
              <w:right w:val="single" w:color="000000" w:sz="4" w:space="0"/>
            </w:tcBorders>
            <w:shd w:val="clear" w:color="000000" w:fill="FFFFFF"/>
            <w:noWrap/>
            <w:tcMar>
              <w:top w:w="15" w:type="dxa"/>
              <w:left w:w="15" w:type="dxa"/>
              <w:bottom w:w="0" w:type="dxa"/>
              <w:right w:w="15" w:type="dxa"/>
            </w:tcMar>
            <w:vAlign w:val="center"/>
          </w:tcPr>
          <w:p>
            <w:pPr>
              <w:jc w:val="right"/>
              <w:rPr>
                <w:rFonts w:cs="Arial"/>
                <w:sz w:val="20"/>
                <w:szCs w:val="20"/>
              </w:rPr>
            </w:pPr>
            <w:r>
              <w:rPr>
                <w:rFonts w:hint="eastAsia" w:cs="Arial"/>
                <w:sz w:val="20"/>
                <w:szCs w:val="20"/>
              </w:rPr>
              <w:t>　</w:t>
            </w:r>
          </w:p>
        </w:tc>
      </w:tr>
      <w:tr>
        <w:tblPrEx>
          <w:tblCellMar>
            <w:top w:w="0" w:type="dxa"/>
            <w:left w:w="0" w:type="dxa"/>
            <w:bottom w:w="0" w:type="dxa"/>
            <w:right w:w="0" w:type="dxa"/>
          </w:tblCellMar>
        </w:tblPrEx>
        <w:trPr>
          <w:trHeight w:val="300" w:hRule="atLeast"/>
        </w:trPr>
        <w:tc>
          <w:tcPr>
            <w:tcW w:w="5000" w:type="pct"/>
            <w:gridSpan w:val="7"/>
            <w:tcBorders>
              <w:top w:val="nil"/>
              <w:left w:val="nil"/>
              <w:bottom w:val="nil"/>
              <w:right w:val="nil"/>
            </w:tcBorders>
            <w:shd w:val="clear" w:color="000000" w:fill="FFFFFF"/>
            <w:noWrap/>
            <w:tcMar>
              <w:top w:w="15" w:type="dxa"/>
              <w:left w:w="15" w:type="dxa"/>
              <w:bottom w:w="0" w:type="dxa"/>
              <w:right w:w="15" w:type="dxa"/>
            </w:tcMar>
            <w:vAlign w:val="center"/>
          </w:tcPr>
          <w:p>
            <w:pPr>
              <w:rPr>
                <w:rFonts w:cs="Arial"/>
                <w:sz w:val="20"/>
                <w:szCs w:val="20"/>
              </w:rPr>
            </w:pPr>
            <w:r>
              <w:rPr>
                <w:rFonts w:hint="eastAsia" w:cs="Arial"/>
                <w:sz w:val="20"/>
                <w:szCs w:val="20"/>
              </w:rPr>
              <w:t>注：本表反映部门本年度国有资本经营预算财政拨款支出情况。2020年度本单位无国有资本经营预算收支，因此本表无数据。</w:t>
            </w:r>
          </w:p>
        </w:tc>
      </w:tr>
    </w:tbl>
    <w:p>
      <w:pPr>
        <w:rPr>
          <w:rStyle w:val="16"/>
          <w:rFonts w:ascii="楷体" w:hAnsi="楷体" w:eastAsia="楷体" w:cs="楷体"/>
          <w:sz w:val="32"/>
          <w:szCs w:val="32"/>
          <w:shd w:val="clear" w:color="auto" w:fill="FFFFFF"/>
        </w:rPr>
      </w:pPr>
      <w:r>
        <w:rPr>
          <w:rStyle w:val="16"/>
          <w:rFonts w:ascii="楷体" w:hAnsi="楷体" w:eastAsia="楷体" w:cs="楷体"/>
          <w:sz w:val="32"/>
          <w:szCs w:val="32"/>
          <w:shd w:val="clear" w:color="auto" w:fill="FFFFFF"/>
        </w:rPr>
        <w:br w:type="page"/>
      </w:r>
    </w:p>
    <w:p>
      <w:pPr>
        <w:pStyle w:val="13"/>
        <w:spacing w:before="0" w:beforeAutospacing="0"/>
        <w:jc w:val="center"/>
        <w:outlineLvl w:val="0"/>
        <w:rPr>
          <w:rFonts w:cs="宋体"/>
          <w:sz w:val="44"/>
          <w:szCs w:val="44"/>
        </w:rPr>
      </w:pPr>
      <w:bookmarkStart w:id="14" w:name="_Toc1903"/>
      <w:r>
        <w:rPr>
          <w:rStyle w:val="16"/>
          <w:rFonts w:hint="eastAsia" w:ascii="黑体" w:hAnsi="黑体" w:eastAsia="黑体" w:cs="黑体"/>
          <w:sz w:val="44"/>
          <w:szCs w:val="44"/>
          <w:shd w:val="clear" w:color="auto" w:fill="FFFFFF"/>
        </w:rPr>
        <w:t>第三部分 2020年度部门决算情况说明</w:t>
      </w:r>
      <w:bookmarkEnd w:id="14"/>
    </w:p>
    <w:p>
      <w:pPr>
        <w:pStyle w:val="13"/>
        <w:spacing w:before="0" w:beforeAutospacing="0" w:after="0" w:afterAutospacing="0" w:line="560" w:lineRule="exact"/>
        <w:ind w:firstLine="640" w:firstLineChars="200"/>
        <w:outlineLvl w:val="1"/>
        <w:rPr>
          <w:rStyle w:val="16"/>
          <w:rFonts w:ascii="楷体_GB2312" w:eastAsia="楷体_GB2312"/>
          <w:color w:val="FF0000"/>
          <w:shd w:val="clear" w:color="auto" w:fill="FFFFFF"/>
        </w:rPr>
      </w:pPr>
      <w:bookmarkStart w:id="15" w:name="_Toc8716"/>
      <w:bookmarkStart w:id="16" w:name="_Toc20259"/>
      <w:r>
        <w:rPr>
          <w:rStyle w:val="16"/>
          <w:rFonts w:hint="eastAsia" w:ascii="楷体_GB2312" w:hAnsi="楷体" w:eastAsia="楷体_GB2312" w:cs="楷体"/>
          <w:b w:val="0"/>
          <w:sz w:val="32"/>
          <w:szCs w:val="32"/>
          <w:shd w:val="clear" w:color="auto" w:fill="FFFFFF"/>
        </w:rPr>
        <w:t>一、收入支出决算总体情况说明</w:t>
      </w:r>
      <w:bookmarkEnd w:id="15"/>
      <w:bookmarkEnd w:id="16"/>
    </w:p>
    <w:p>
      <w:pPr>
        <w:pStyle w:val="13"/>
        <w:spacing w:before="0" w:beforeAutospacing="0" w:after="0" w:afterAutospacing="0" w:line="560" w:lineRule="exact"/>
        <w:ind w:firstLine="640" w:firstLineChars="200"/>
        <w:rPr>
          <w:rFonts w:ascii="仿宋_GB2312" w:eastAsia="仿宋_GB2312" w:cs="宋体"/>
          <w:sz w:val="32"/>
          <w:szCs w:val="32"/>
        </w:rPr>
      </w:pPr>
      <w:bookmarkStart w:id="17" w:name="_Toc20242"/>
      <w:r>
        <w:rPr>
          <w:rFonts w:hint="eastAsia" w:ascii="仿宋_GB2312" w:eastAsia="仿宋_GB2312" w:cs="宋体"/>
          <w:sz w:val="32"/>
          <w:szCs w:val="32"/>
        </w:rPr>
        <w:t>2020年收入、支出总计2629.26万元，较2019年2055.3万元增加573.96万元，增幅27.93%。收支上升的主要原因</w:t>
      </w:r>
      <w:bookmarkStart w:id="18" w:name="_Toc1157"/>
      <w:r>
        <w:rPr>
          <w:rFonts w:hint="eastAsia" w:ascii="仿宋_GB2312" w:eastAsia="仿宋_GB2312" w:cs="宋体"/>
          <w:sz w:val="32"/>
          <w:szCs w:val="32"/>
        </w:rPr>
        <w:t>一是干警工资调整、新招录的聘任制书记员工资奖金发放、项目经费支出导致人员经费和公用经费增加；二是因本年度进行机构改革，公用经费增加、加上物价上涨等因素导致本年度总支出增加。</w:t>
      </w:r>
    </w:p>
    <w:p>
      <w:pPr>
        <w:pStyle w:val="13"/>
        <w:spacing w:before="0" w:beforeAutospacing="0" w:after="0" w:afterAutospacing="0" w:line="560" w:lineRule="exact"/>
        <w:ind w:firstLine="640" w:firstLineChars="200"/>
        <w:rPr>
          <w:rStyle w:val="16"/>
          <w:rFonts w:ascii="楷体_GB2312" w:hAnsi="楷体" w:eastAsia="楷体_GB2312" w:cs="楷体"/>
          <w:b w:val="0"/>
          <w:sz w:val="32"/>
          <w:szCs w:val="32"/>
          <w:shd w:val="clear" w:color="auto" w:fill="FFFFFF"/>
        </w:rPr>
      </w:pPr>
      <w:r>
        <w:rPr>
          <w:rStyle w:val="16"/>
          <w:rFonts w:hint="eastAsia" w:ascii="楷体_GB2312" w:hAnsi="楷体" w:eastAsia="楷体_GB2312" w:cs="楷体"/>
          <w:b w:val="0"/>
          <w:sz w:val="32"/>
          <w:szCs w:val="32"/>
          <w:shd w:val="clear" w:color="auto" w:fill="FFFFFF"/>
        </w:rPr>
        <w:t>二、收入决算情况说明</w:t>
      </w:r>
      <w:bookmarkEnd w:id="17"/>
      <w:bookmarkEnd w:id="18"/>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本年收入合计</w:t>
      </w:r>
      <w:r>
        <w:rPr>
          <w:rFonts w:hint="eastAsia" w:ascii="仿宋_GB2312" w:eastAsia="仿宋_GB2312" w:cs="宋体"/>
          <w:sz w:val="32"/>
          <w:szCs w:val="32"/>
        </w:rPr>
        <w:t>2579.86</w:t>
      </w:r>
      <w:r>
        <w:rPr>
          <w:rFonts w:hint="eastAsia" w:ascii="仿宋_GB2312" w:eastAsia="仿宋_GB2312"/>
          <w:sz w:val="32"/>
          <w:szCs w:val="32"/>
        </w:rPr>
        <w:t>万元，其中，财政拨款收入</w:t>
      </w:r>
      <w:r>
        <w:rPr>
          <w:rFonts w:hint="eastAsia" w:ascii="仿宋_GB2312" w:eastAsia="仿宋_GB2312" w:cs="宋体"/>
          <w:sz w:val="32"/>
          <w:szCs w:val="32"/>
        </w:rPr>
        <w:t>1944.7</w:t>
      </w:r>
      <w:r>
        <w:rPr>
          <w:rFonts w:hint="eastAsia" w:ascii="仿宋_GB2312" w:eastAsia="仿宋_GB2312"/>
          <w:sz w:val="32"/>
          <w:szCs w:val="32"/>
        </w:rPr>
        <w:t>万元，占比</w:t>
      </w:r>
      <w:r>
        <w:rPr>
          <w:rFonts w:hint="eastAsia" w:ascii="仿宋_GB2312" w:eastAsia="仿宋_GB2312" w:cs="宋体"/>
          <w:sz w:val="32"/>
          <w:szCs w:val="32"/>
        </w:rPr>
        <w:t>75.38%</w:t>
      </w:r>
      <w:r>
        <w:rPr>
          <w:rFonts w:hint="eastAsia" w:ascii="仿宋_GB2312" w:eastAsia="仿宋_GB2312"/>
          <w:sz w:val="32"/>
          <w:szCs w:val="32"/>
        </w:rPr>
        <w:t>；其他收入635.16万元，占比24.62%。</w:t>
      </w:r>
    </w:p>
    <w:p>
      <w:pPr>
        <w:pStyle w:val="13"/>
        <w:spacing w:before="0" w:beforeAutospacing="0" w:after="0" w:afterAutospacing="0" w:line="560" w:lineRule="exact"/>
        <w:ind w:firstLine="640" w:firstLineChars="200"/>
        <w:outlineLvl w:val="1"/>
        <w:rPr>
          <w:rStyle w:val="16"/>
          <w:rFonts w:ascii="楷体_GB2312" w:hAnsi="楷体" w:eastAsia="楷体_GB2312" w:cs="楷体"/>
          <w:b w:val="0"/>
          <w:sz w:val="32"/>
          <w:szCs w:val="32"/>
          <w:shd w:val="clear" w:color="auto" w:fill="FFFFFF"/>
        </w:rPr>
      </w:pPr>
      <w:bookmarkStart w:id="19" w:name="_Toc32306"/>
      <w:bookmarkStart w:id="20" w:name="_Toc7581"/>
      <w:r>
        <w:rPr>
          <w:rStyle w:val="16"/>
          <w:rFonts w:hint="eastAsia" w:ascii="楷体_GB2312" w:hAnsi="楷体" w:eastAsia="楷体_GB2312" w:cs="楷体"/>
          <w:b w:val="0"/>
          <w:sz w:val="32"/>
          <w:szCs w:val="32"/>
          <w:shd w:val="clear" w:color="auto" w:fill="FFFFFF"/>
        </w:rPr>
        <w:t>三、支出决算情况说明</w:t>
      </w:r>
      <w:bookmarkEnd w:id="19"/>
      <w:bookmarkEnd w:id="20"/>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本年支出合计</w:t>
      </w:r>
      <w:r>
        <w:rPr>
          <w:rFonts w:hint="eastAsia" w:ascii="仿宋_GB2312" w:eastAsia="仿宋_GB2312" w:cs="宋体"/>
          <w:sz w:val="32"/>
          <w:szCs w:val="32"/>
        </w:rPr>
        <w:t>2425.26</w:t>
      </w:r>
      <w:r>
        <w:rPr>
          <w:rFonts w:hint="eastAsia" w:ascii="仿宋_GB2312" w:eastAsia="仿宋_GB2312"/>
          <w:sz w:val="32"/>
          <w:szCs w:val="32"/>
        </w:rPr>
        <w:t>万元，其中，基本支出2331.27万元，占比96.12%；项目支出93.99万元，占比3.88%。</w:t>
      </w:r>
    </w:p>
    <w:p>
      <w:pPr>
        <w:pStyle w:val="13"/>
        <w:spacing w:before="0" w:beforeAutospacing="0" w:after="0" w:afterAutospacing="0" w:line="560" w:lineRule="exact"/>
        <w:ind w:firstLine="640" w:firstLineChars="200"/>
        <w:outlineLvl w:val="1"/>
        <w:rPr>
          <w:rStyle w:val="16"/>
          <w:rFonts w:ascii="楷体_GB2312" w:hAnsi="楷体" w:eastAsia="楷体_GB2312" w:cs="楷体"/>
          <w:b w:val="0"/>
          <w:shd w:val="clear" w:color="auto" w:fill="FFFFFF"/>
        </w:rPr>
      </w:pPr>
      <w:bookmarkStart w:id="21" w:name="_Toc1788"/>
      <w:bookmarkStart w:id="22" w:name="_Toc19070"/>
      <w:r>
        <w:rPr>
          <w:rStyle w:val="16"/>
          <w:rFonts w:hint="eastAsia" w:ascii="楷体_GB2312" w:hAnsi="楷体" w:eastAsia="楷体_GB2312" w:cs="楷体"/>
          <w:b w:val="0"/>
          <w:sz w:val="32"/>
          <w:szCs w:val="32"/>
          <w:shd w:val="clear" w:color="auto" w:fill="FFFFFF"/>
        </w:rPr>
        <w:t>四、财政拨款收入支出决算总体情况说明</w:t>
      </w:r>
      <w:bookmarkEnd w:id="21"/>
      <w:bookmarkEnd w:id="22"/>
    </w:p>
    <w:p>
      <w:pPr>
        <w:pStyle w:val="13"/>
        <w:spacing w:before="0" w:beforeAutospacing="0" w:after="0" w:afterAutospacing="0" w:line="560" w:lineRule="exact"/>
        <w:ind w:firstLine="640" w:firstLineChars="200"/>
        <w:rPr>
          <w:rFonts w:eastAsia="仿宋_GB2312"/>
          <w:b/>
          <w:bCs/>
          <w:sz w:val="32"/>
          <w:szCs w:val="32"/>
        </w:rPr>
      </w:pPr>
      <w:r>
        <w:rPr>
          <w:rFonts w:hint="eastAsia" w:ascii="仿宋_GB2312" w:eastAsia="仿宋_GB2312"/>
          <w:sz w:val="32"/>
          <w:szCs w:val="32"/>
        </w:rPr>
        <w:t>2020年度财政拨款收入、支出总计1994.10万元，较上年增加了133.52万元，增幅7.18%。</w:t>
      </w:r>
      <w:r>
        <w:rPr>
          <w:rFonts w:eastAsia="仿宋_GB2312"/>
          <w:sz w:val="32"/>
          <w:szCs w:val="32"/>
        </w:rPr>
        <w:t>财政拨款收支</w:t>
      </w:r>
      <w:r>
        <w:rPr>
          <w:rFonts w:hint="eastAsia" w:eastAsia="仿宋_GB2312"/>
          <w:sz w:val="32"/>
          <w:szCs w:val="32"/>
        </w:rPr>
        <w:t>增加</w:t>
      </w:r>
      <w:r>
        <w:rPr>
          <w:rFonts w:eastAsia="仿宋_GB2312"/>
          <w:sz w:val="32"/>
          <w:szCs w:val="32"/>
        </w:rPr>
        <w:t>的主要原因</w:t>
      </w:r>
      <w:r>
        <w:rPr>
          <w:rFonts w:hint="eastAsia" w:ascii="仿宋_GB2312" w:eastAsia="仿宋_GB2312" w:cs="宋体"/>
          <w:sz w:val="32"/>
          <w:szCs w:val="32"/>
        </w:rPr>
        <w:t>是干警工资调整、新招录的聘任制书记员工资奖金发放、新增房屋修缮项目导致财政拨款收支增加</w:t>
      </w:r>
      <w:r>
        <w:rPr>
          <w:rFonts w:hint="eastAsia" w:eastAsia="仿宋_GB2312"/>
          <w:b/>
          <w:bCs/>
          <w:sz w:val="32"/>
          <w:szCs w:val="32"/>
        </w:rPr>
        <w:t>。</w:t>
      </w:r>
    </w:p>
    <w:p>
      <w:pPr>
        <w:pStyle w:val="13"/>
        <w:spacing w:before="0" w:beforeAutospacing="0" w:after="0" w:afterAutospacing="0" w:line="560" w:lineRule="exact"/>
        <w:ind w:firstLine="640" w:firstLineChars="200"/>
        <w:outlineLvl w:val="1"/>
        <w:rPr>
          <w:rStyle w:val="16"/>
          <w:rFonts w:ascii="楷体_GB2312" w:hAnsi="楷体" w:eastAsia="楷体_GB2312" w:cs="楷体"/>
          <w:b w:val="0"/>
          <w:shd w:val="clear" w:color="auto" w:fill="FFFFFF"/>
        </w:rPr>
      </w:pPr>
      <w:bookmarkStart w:id="23" w:name="_Toc28242"/>
      <w:bookmarkStart w:id="24" w:name="_Toc330"/>
      <w:r>
        <w:rPr>
          <w:rStyle w:val="16"/>
          <w:rFonts w:hint="eastAsia" w:ascii="楷体_GB2312" w:hAnsi="楷体" w:eastAsia="楷体_GB2312" w:cs="楷体"/>
          <w:b w:val="0"/>
          <w:sz w:val="32"/>
          <w:szCs w:val="32"/>
          <w:shd w:val="clear" w:color="auto" w:fill="FFFFFF"/>
        </w:rPr>
        <w:t>五、一般公共预算财政拨款支出决算情况说明</w:t>
      </w:r>
      <w:bookmarkEnd w:id="23"/>
      <w:bookmarkEnd w:id="24"/>
    </w:p>
    <w:p>
      <w:pPr>
        <w:pStyle w:val="13"/>
        <w:spacing w:before="0" w:beforeAutospacing="0" w:after="0" w:afterAutospacing="0" w:line="560" w:lineRule="exact"/>
        <w:ind w:firstLine="640" w:firstLineChars="200"/>
        <w:rPr>
          <w:rStyle w:val="16"/>
          <w:rFonts w:ascii="楷体_GB2312" w:hAnsi="楷体" w:eastAsia="楷体_GB2312" w:cs="楷体"/>
          <w:b w:val="0"/>
          <w:sz w:val="32"/>
          <w:szCs w:val="32"/>
          <w:shd w:val="clear" w:color="auto" w:fill="FFFFFF"/>
        </w:rPr>
      </w:pPr>
      <w:r>
        <w:rPr>
          <w:rStyle w:val="16"/>
          <w:rFonts w:hint="eastAsia" w:ascii="楷体_GB2312" w:hAnsi="楷体" w:eastAsia="楷体_GB2312" w:cs="楷体"/>
          <w:b w:val="0"/>
          <w:sz w:val="32"/>
          <w:szCs w:val="32"/>
          <w:shd w:val="clear" w:color="auto" w:fill="FFFFFF"/>
        </w:rPr>
        <w:t>（一）财政拨款支出决算总体情况</w:t>
      </w:r>
    </w:p>
    <w:p>
      <w:pPr>
        <w:pStyle w:val="13"/>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sz w:val="32"/>
          <w:szCs w:val="32"/>
        </w:rPr>
        <w:t>2020年度财政拨款支出1790.10万元，占本年支出合计的73.81%，较2019年度财政拨款支出增加69.15万元，增幅4.02%。财政拨款支出上升的主要原因</w:t>
      </w:r>
      <w:r>
        <w:rPr>
          <w:rFonts w:hint="eastAsia" w:ascii="仿宋_GB2312" w:eastAsia="仿宋_GB2312" w:cs="宋体"/>
          <w:sz w:val="32"/>
          <w:szCs w:val="32"/>
        </w:rPr>
        <w:t>是新进书记员工资奖金、内设机构改革等因素导致人员经费、公用经费增加。</w:t>
      </w:r>
    </w:p>
    <w:p>
      <w:pPr>
        <w:pStyle w:val="13"/>
        <w:spacing w:before="0" w:beforeAutospacing="0" w:after="0" w:afterAutospacing="0" w:line="560" w:lineRule="exact"/>
        <w:ind w:firstLine="640" w:firstLineChars="200"/>
        <w:rPr>
          <w:rStyle w:val="16"/>
          <w:rFonts w:ascii="楷体_GB2312" w:hAnsi="楷体" w:eastAsia="楷体_GB2312" w:cs="楷体"/>
          <w:b w:val="0"/>
          <w:sz w:val="32"/>
          <w:szCs w:val="32"/>
          <w:shd w:val="clear" w:color="auto" w:fill="FFFFFF"/>
        </w:rPr>
      </w:pPr>
      <w:r>
        <w:rPr>
          <w:rStyle w:val="16"/>
          <w:rFonts w:hint="eastAsia" w:ascii="楷体_GB2312" w:hAnsi="楷体" w:eastAsia="楷体_GB2312" w:cs="楷体"/>
          <w:b w:val="0"/>
          <w:sz w:val="32"/>
          <w:szCs w:val="32"/>
          <w:shd w:val="clear" w:color="auto" w:fill="FFFFFF"/>
        </w:rPr>
        <w:t>（二）财政拨款支出决算结构情况</w:t>
      </w:r>
    </w:p>
    <w:p>
      <w:pPr>
        <w:spacing w:line="560" w:lineRule="exact"/>
        <w:ind w:firstLine="640" w:firstLineChars="200"/>
        <w:rPr>
          <w:rFonts w:ascii="仿宋_GB2312" w:eastAsia="仿宋_GB2312"/>
          <w:color w:val="FF0000"/>
        </w:rPr>
      </w:pPr>
      <w:r>
        <w:rPr>
          <w:rFonts w:hint="eastAsia" w:ascii="仿宋_GB2312" w:eastAsia="仿宋_GB2312" w:cs="宋体"/>
          <w:sz w:val="32"/>
          <w:szCs w:val="32"/>
        </w:rPr>
        <w:t>2020年度财政拨款支出</w:t>
      </w:r>
      <w:r>
        <w:rPr>
          <w:rFonts w:hint="eastAsia" w:ascii="仿宋_GB2312" w:eastAsia="仿宋_GB2312"/>
          <w:sz w:val="32"/>
          <w:szCs w:val="32"/>
        </w:rPr>
        <w:t>1790.10</w:t>
      </w:r>
      <w:r>
        <w:rPr>
          <w:rFonts w:hint="eastAsia" w:ascii="仿宋_GB2312" w:eastAsia="仿宋_GB2312" w:cs="宋体"/>
          <w:sz w:val="32"/>
          <w:szCs w:val="32"/>
        </w:rPr>
        <w:t>万元，主要用于以下方面：公共安全支出1467.92万元，占比82%；社会保障和就业支出98.49万元，占比5.5%；卫生健康支出39.45万元，占比2.2%；住房保障支出184.24万元，占比10.29%。</w:t>
      </w:r>
    </w:p>
    <w:p>
      <w:pPr>
        <w:pStyle w:val="13"/>
        <w:spacing w:before="0" w:beforeAutospacing="0" w:after="0" w:afterAutospacing="0" w:line="560" w:lineRule="exact"/>
        <w:ind w:firstLine="640" w:firstLineChars="200"/>
        <w:rPr>
          <w:rStyle w:val="16"/>
          <w:rFonts w:ascii="楷体_GB2312" w:hAnsi="楷体" w:eastAsia="楷体_GB2312" w:cs="楷体"/>
          <w:b w:val="0"/>
          <w:color w:val="FF0000"/>
          <w:shd w:val="clear" w:color="auto" w:fill="FFFFFF"/>
        </w:rPr>
      </w:pPr>
      <w:r>
        <w:rPr>
          <w:rStyle w:val="16"/>
          <w:rFonts w:hint="eastAsia" w:ascii="楷体_GB2312" w:hAnsi="楷体" w:eastAsia="楷体_GB2312" w:cs="楷体"/>
          <w:b w:val="0"/>
          <w:sz w:val="32"/>
          <w:szCs w:val="32"/>
          <w:shd w:val="clear" w:color="auto" w:fill="FFFFFF"/>
        </w:rPr>
        <w:t>（三）财政拨款支出决算具体情况</w:t>
      </w:r>
    </w:p>
    <w:p>
      <w:pPr>
        <w:spacing w:line="560" w:lineRule="exact"/>
        <w:ind w:firstLine="640" w:firstLineChars="200"/>
        <w:rPr>
          <w:rFonts w:ascii="仿宋_GB2312" w:eastAsia="仿宋_GB2312" w:cs="宋体"/>
        </w:rPr>
      </w:pPr>
      <w:r>
        <w:rPr>
          <w:rFonts w:hint="eastAsia" w:ascii="仿宋_GB2312" w:eastAsia="仿宋_GB2312" w:cs="宋体"/>
          <w:sz w:val="32"/>
          <w:szCs w:val="32"/>
        </w:rPr>
        <w:t>2020年度财政拨款支出年初预算数为1737.93万元，支出决算数为</w:t>
      </w:r>
      <w:r>
        <w:rPr>
          <w:rFonts w:hint="eastAsia" w:ascii="仿宋_GB2312" w:eastAsia="仿宋_GB2312"/>
          <w:sz w:val="32"/>
          <w:szCs w:val="32"/>
        </w:rPr>
        <w:t>1790.10</w:t>
      </w:r>
      <w:r>
        <w:rPr>
          <w:rFonts w:hint="eastAsia" w:ascii="仿宋_GB2312" w:eastAsia="仿宋_GB2312" w:cs="宋体"/>
          <w:sz w:val="32"/>
          <w:szCs w:val="32"/>
        </w:rPr>
        <w:t>万元，完成年初预算的103%，其中：</w:t>
      </w:r>
    </w:p>
    <w:p>
      <w:pPr>
        <w:pStyle w:val="13"/>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cs="宋体"/>
          <w:sz w:val="32"/>
          <w:szCs w:val="32"/>
        </w:rPr>
        <w:t>1、公共安全-检察-行政运行支出年初预算1303.93万元，决算数1320.68万元，完成年初预算的101.28%。决算数大于年初预算数的主要原因是：一是基本工资、津贴补贴标准提高；二是办案成本增加。</w:t>
      </w:r>
    </w:p>
    <w:p>
      <w:pPr>
        <w:pStyle w:val="13"/>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cs="宋体"/>
          <w:sz w:val="32"/>
          <w:szCs w:val="32"/>
        </w:rPr>
        <w:t>2、公共安全-检察-一般行政管理事务支出年初预算21万元，决算数93.05万元，完成年初预算的443.10%。决算数大于年初预算数的主要原因是：因办公办案工作需要，年中追加档案室升级改造、检委会子系统建设、办公设备购置等经费。</w:t>
      </w:r>
    </w:p>
    <w:p>
      <w:pPr>
        <w:pStyle w:val="13"/>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cs="宋体"/>
          <w:sz w:val="32"/>
          <w:szCs w:val="32"/>
        </w:rPr>
        <w:t>3、公共安全-检察-检察监督支出年初预算为83万元，决算支出数54.19万元，完成年初预算的65.29%。决算数小于年初预算数的主要原因是疫情因素影响，检察监督办案工作不可预计性较大。</w:t>
      </w:r>
    </w:p>
    <w:p>
      <w:pPr>
        <w:pStyle w:val="13"/>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cs="宋体"/>
          <w:sz w:val="32"/>
          <w:szCs w:val="32"/>
        </w:rPr>
        <w:t>4、社会保障和就业支出-行政事业单位养老支出-行政单位离退休年初预算12万元，决算数11.68万元，完成年初预算的97.33%。决算数小于预算数的主要原因是正常</w:t>
      </w:r>
      <w:r>
        <w:rPr>
          <w:rFonts w:hint="eastAsia" w:ascii="仿宋_GB2312" w:eastAsia="仿宋_GB2312"/>
          <w:sz w:val="32"/>
        </w:rPr>
        <w:t>退休人员人员经费细微调整导致年末实际开支减少。</w:t>
      </w:r>
    </w:p>
    <w:p>
      <w:pPr>
        <w:pStyle w:val="13"/>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cs="宋体"/>
          <w:sz w:val="32"/>
          <w:szCs w:val="32"/>
        </w:rPr>
        <w:t>5、社会保障和就业支出-行政事业单位养老支出-机关事业单位基本养老保险缴费支出年初预算77万元，决算数77万元，完成年初预算的100%。</w:t>
      </w:r>
      <w:r>
        <w:rPr>
          <w:rFonts w:hint="eastAsia" w:ascii="仿宋_GB2312" w:eastAsia="仿宋_GB2312" w:cs="宋体"/>
          <w:sz w:val="32"/>
          <w:szCs w:val="32"/>
        </w:rPr>
        <w:br w:type="textWrapping"/>
      </w:r>
      <w:r>
        <w:rPr>
          <w:rFonts w:hint="eastAsia" w:ascii="仿宋_GB2312" w:eastAsia="仿宋_GB2312" w:cs="宋体"/>
          <w:sz w:val="32"/>
          <w:szCs w:val="32"/>
        </w:rPr>
        <w:t xml:space="preserve">    6、社会保障和就业支出-其他社会保障和就业支出-其他社会保障和就业支出年初预算11万元，决算数9.81万元，完成年初预算的89.18%。决算数小于预算数的主要原因是正常在职人员减少导致年末实际开支减少。</w:t>
      </w:r>
    </w:p>
    <w:p>
      <w:pPr>
        <w:pStyle w:val="13"/>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cs="宋体"/>
          <w:sz w:val="32"/>
          <w:szCs w:val="32"/>
        </w:rPr>
        <w:t>7、卫生健康支出-行政事业单位医疗-行政单位医疗支出年初预算40万元，决算数39.45万元，完成年初预算的98.62%。决算数小于预算数的主要原因是正常人员增减导致医疗支出减少。</w:t>
      </w:r>
    </w:p>
    <w:p>
      <w:pPr>
        <w:pStyle w:val="13"/>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cs="宋体"/>
          <w:sz w:val="32"/>
          <w:szCs w:val="32"/>
        </w:rPr>
        <w:t>8、住房保障支出-住房改革支出-住房公积金支出年初预算190万元，决算数184.24万元，完成年初预算的96.97%。决算数小于预算数的主要原因是正常在职人员减少导致住房公积金支出减少。</w:t>
      </w:r>
    </w:p>
    <w:p>
      <w:pPr>
        <w:pStyle w:val="13"/>
        <w:spacing w:before="0" w:beforeAutospacing="0" w:after="0" w:afterAutospacing="0" w:line="560" w:lineRule="exact"/>
        <w:ind w:firstLine="640" w:firstLineChars="200"/>
        <w:outlineLvl w:val="1"/>
        <w:rPr>
          <w:rStyle w:val="16"/>
          <w:rFonts w:ascii="楷体_GB2312" w:hAnsi="楷体" w:eastAsia="楷体_GB2312" w:cs="楷体"/>
          <w:b w:val="0"/>
          <w:sz w:val="32"/>
          <w:szCs w:val="32"/>
          <w:shd w:val="clear" w:color="auto" w:fill="FFFFFF"/>
        </w:rPr>
      </w:pPr>
      <w:bookmarkStart w:id="25" w:name="_Toc2717"/>
      <w:bookmarkStart w:id="26" w:name="_Toc3790"/>
      <w:r>
        <w:rPr>
          <w:rStyle w:val="16"/>
          <w:rFonts w:hint="eastAsia" w:ascii="楷体_GB2312" w:hAnsi="楷体" w:eastAsia="楷体_GB2312" w:cs="楷体"/>
          <w:b w:val="0"/>
          <w:sz w:val="32"/>
          <w:szCs w:val="32"/>
          <w:shd w:val="clear" w:color="auto" w:fill="FFFFFF"/>
        </w:rPr>
        <w:t>六、一般公共预算财政拨款基本支出决算情况说明</w:t>
      </w:r>
      <w:bookmarkEnd w:id="25"/>
      <w:bookmarkEnd w:id="26"/>
    </w:p>
    <w:p>
      <w:pPr>
        <w:pStyle w:val="13"/>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cs="宋体"/>
          <w:sz w:val="32"/>
          <w:szCs w:val="32"/>
        </w:rPr>
        <w:t>2020年度财政拨款基本支出1696.11万元，其中：人员经费1228.07万元，占基本支出的72.41%,主要包括</w:t>
      </w:r>
      <w:r>
        <w:rPr>
          <w:rFonts w:hint="eastAsia" w:ascii="仿宋_GB2312" w:eastAsia="仿宋_GB2312"/>
          <w:sz w:val="32"/>
        </w:rPr>
        <w:t>基本工资、津贴补贴、奖金、机关事业单位基本养老保险缴费、职工基本医疗保险缴费、其他社会保障缴费、住房公积金、其他工资福利支出、离休费、抚恤金、奖励金、其他对个人和家庭的补助支出</w:t>
      </w:r>
      <w:r>
        <w:rPr>
          <w:rFonts w:hint="eastAsia" w:ascii="仿宋_GB2312" w:eastAsia="仿宋_GB2312" w:cs="宋体"/>
          <w:sz w:val="32"/>
          <w:szCs w:val="32"/>
        </w:rPr>
        <w:t>；公用经费468.04万元，占基本支出的27.59%，主要包括</w:t>
      </w:r>
      <w:r>
        <w:rPr>
          <w:rFonts w:hint="eastAsia" w:ascii="仿宋_GB2312" w:eastAsia="仿宋_GB2312"/>
          <w:sz w:val="32"/>
        </w:rPr>
        <w:t>办公费、印刷费、水费、电费、邮电费、物业管理费、差旅费、维修（护）费、公务接待费、劳务费、工会经费、福利费、公务用车运行维护费、其他交通费用、其他商品和服务支出。</w:t>
      </w:r>
    </w:p>
    <w:p>
      <w:pPr>
        <w:pStyle w:val="13"/>
        <w:spacing w:before="0" w:beforeAutospacing="0" w:after="0" w:afterAutospacing="0" w:line="560" w:lineRule="exact"/>
        <w:ind w:firstLine="640" w:firstLineChars="200"/>
        <w:outlineLvl w:val="1"/>
        <w:rPr>
          <w:rStyle w:val="16"/>
          <w:rFonts w:ascii="楷体_GB2312" w:hAnsi="楷体" w:eastAsia="楷体_GB2312" w:cs="楷体"/>
          <w:b w:val="0"/>
          <w:sz w:val="32"/>
          <w:szCs w:val="32"/>
          <w:shd w:val="clear" w:color="auto" w:fill="FFFFFF"/>
        </w:rPr>
      </w:pPr>
      <w:bookmarkStart w:id="27" w:name="_Toc428"/>
      <w:bookmarkStart w:id="28" w:name="_Toc18644"/>
      <w:r>
        <w:rPr>
          <w:rStyle w:val="16"/>
          <w:rFonts w:hint="eastAsia" w:ascii="楷体_GB2312" w:hAnsi="楷体" w:eastAsia="楷体_GB2312" w:cs="楷体"/>
          <w:b w:val="0"/>
          <w:sz w:val="32"/>
          <w:szCs w:val="32"/>
          <w:shd w:val="clear" w:color="auto" w:fill="FFFFFF"/>
        </w:rPr>
        <w:t>七、一般公共预算财政拨款三公经费支出决算情况说明</w:t>
      </w:r>
      <w:bookmarkEnd w:id="27"/>
      <w:bookmarkEnd w:id="28"/>
    </w:p>
    <w:p>
      <w:pPr>
        <w:pStyle w:val="13"/>
        <w:spacing w:before="0" w:beforeAutospacing="0" w:after="0" w:afterAutospacing="0" w:line="560" w:lineRule="exact"/>
        <w:ind w:firstLine="640" w:firstLineChars="200"/>
        <w:rPr>
          <w:rStyle w:val="16"/>
          <w:rFonts w:ascii="楷体_GB2312" w:hAnsi="楷体" w:eastAsia="楷体_GB2312" w:cs="楷体"/>
          <w:b w:val="0"/>
          <w:sz w:val="32"/>
          <w:szCs w:val="32"/>
          <w:shd w:val="clear" w:color="auto" w:fill="FFFFFF"/>
        </w:rPr>
      </w:pPr>
      <w:r>
        <w:rPr>
          <w:rStyle w:val="16"/>
          <w:rFonts w:hint="eastAsia" w:ascii="楷体_GB2312" w:hAnsi="楷体" w:eastAsia="楷体_GB2312" w:cs="楷体"/>
          <w:b w:val="0"/>
          <w:sz w:val="32"/>
          <w:szCs w:val="32"/>
          <w:shd w:val="clear" w:color="auto" w:fill="FFFFFF"/>
        </w:rPr>
        <w:t>（一）“三公”经费财政拨款支出决算总体情况说明</w:t>
      </w:r>
    </w:p>
    <w:p>
      <w:pPr>
        <w:pStyle w:val="13"/>
        <w:spacing w:before="0" w:beforeAutospacing="0" w:after="0" w:afterAutospacing="0" w:line="560" w:lineRule="exact"/>
        <w:ind w:firstLine="640" w:firstLineChars="200"/>
        <w:rPr>
          <w:rFonts w:hint="eastAsia" w:ascii="仿宋_GB2312" w:eastAsia="仿宋_GB2312"/>
          <w:sz w:val="32"/>
        </w:rPr>
      </w:pPr>
      <w:r>
        <w:rPr>
          <w:rFonts w:hint="eastAsia" w:ascii="仿宋_GB2312" w:eastAsia="仿宋_GB2312"/>
          <w:sz w:val="32"/>
        </w:rPr>
        <w:t>“三公”经费财政拨款支出预算为36万元，支出决算为33.07万元，完成预算的91.86%，其中：</w:t>
      </w:r>
    </w:p>
    <w:p>
      <w:pPr>
        <w:pStyle w:val="13"/>
        <w:spacing w:before="0" w:beforeAutospacing="0" w:after="0" w:afterAutospacing="0" w:line="560" w:lineRule="exact"/>
        <w:ind w:firstLine="640" w:firstLineChars="200"/>
        <w:rPr>
          <w:rFonts w:hint="eastAsia" w:ascii="仿宋_GB2312" w:eastAsia="仿宋_GB2312"/>
          <w:sz w:val="32"/>
          <w:lang w:eastAsia="zh-CN"/>
        </w:rPr>
      </w:pPr>
      <w:r>
        <w:rPr>
          <w:rFonts w:hint="eastAsia" w:ascii="仿宋_GB2312" w:eastAsia="仿宋_GB2312"/>
          <w:sz w:val="32"/>
        </w:rPr>
        <w:t>因公出国（境）费支出预算为</w:t>
      </w:r>
      <w:r>
        <w:rPr>
          <w:rFonts w:hint="eastAsia" w:ascii="仿宋_GB2312" w:eastAsia="仿宋_GB2312"/>
          <w:sz w:val="32"/>
          <w:lang w:val="en-US" w:eastAsia="zh-CN"/>
        </w:rPr>
        <w:t>0</w:t>
      </w:r>
      <w:r>
        <w:rPr>
          <w:rFonts w:hint="eastAsia" w:ascii="仿宋_GB2312" w:eastAsia="仿宋_GB2312"/>
          <w:sz w:val="32"/>
        </w:rPr>
        <w:t>万元，支出决算为0万元，决算数</w:t>
      </w:r>
      <w:r>
        <w:rPr>
          <w:rFonts w:hint="eastAsia" w:ascii="仿宋_GB2312" w:eastAsia="仿宋_GB2312"/>
          <w:sz w:val="32"/>
          <w:lang w:eastAsia="zh-CN"/>
        </w:rPr>
        <w:t>等于</w:t>
      </w:r>
      <w:r>
        <w:rPr>
          <w:rFonts w:hint="eastAsia" w:ascii="仿宋_GB2312" w:eastAsia="仿宋_GB2312"/>
          <w:sz w:val="32"/>
        </w:rPr>
        <w:t>年初预算数的主要原因是受新冠疫情影响，本年度未开展因公出国交流项目</w:t>
      </w:r>
      <w:r>
        <w:rPr>
          <w:rFonts w:hint="eastAsia" w:ascii="仿宋_GB2312" w:eastAsia="仿宋_GB2312"/>
          <w:sz w:val="32"/>
          <w:lang w:eastAsia="zh-CN"/>
        </w:rPr>
        <w:t>。</w:t>
      </w:r>
      <w:r>
        <w:rPr>
          <w:rFonts w:hint="eastAsia" w:ascii="仿宋_GB2312" w:eastAsia="仿宋_GB2312"/>
          <w:sz w:val="32"/>
        </w:rPr>
        <w:t>与上年相比减少</w:t>
      </w:r>
      <w:r>
        <w:rPr>
          <w:rFonts w:hint="eastAsia" w:ascii="仿宋_GB2312" w:eastAsia="仿宋_GB2312"/>
          <w:sz w:val="32"/>
          <w:lang w:val="en-US" w:eastAsia="zh-CN"/>
        </w:rPr>
        <w:t>0</w:t>
      </w:r>
      <w:r>
        <w:rPr>
          <w:rFonts w:hint="eastAsia" w:ascii="仿宋_GB2312" w:eastAsia="仿宋_GB2312"/>
          <w:sz w:val="32"/>
        </w:rPr>
        <w:t>万元，主要原因是受新冠疫情影响，本年度未开展因公出国项目。</w:t>
      </w:r>
    </w:p>
    <w:p>
      <w:pPr>
        <w:pStyle w:val="13"/>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rPr>
        <w:t>公务接待费支出预算为13万元，支出决算为5.98万元，完成预算的46%，决算数小于年初预算数的主要原因是进一步从严控制公务接待经费开支，全年实际支出比预算节约幅度较大，与上年相比减少3.09万元，减少34.07%,减少的主要原因是严格控制经费开支、疫情等因素影响。</w:t>
      </w:r>
    </w:p>
    <w:p>
      <w:pPr>
        <w:pStyle w:val="13"/>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rPr>
        <w:t>公务用车购置费及运行维护费支出预算为23万元，支出决算为27.09万元，完成预算的117.78%，决算数大于年初预算数的主要原因是因办公办案需要，年中购置执法执勤用车导致公务用车购置费及运行维护费增加。全年实际支出比预算稍有增加，与上年相比增长6.01万元，增长28.51%,增长的主要原因是因办公办案需要，年中购置执法执勤用车导致公务用车购置费及运行维护费增加。</w:t>
      </w:r>
    </w:p>
    <w:p>
      <w:pPr>
        <w:pStyle w:val="13"/>
        <w:spacing w:before="0" w:beforeAutospacing="0" w:after="0" w:afterAutospacing="0" w:line="560" w:lineRule="exact"/>
        <w:ind w:firstLine="640" w:firstLineChars="200"/>
        <w:rPr>
          <w:rStyle w:val="16"/>
          <w:rFonts w:ascii="楷体_GB2312" w:hAnsi="楷体" w:eastAsia="楷体_GB2312" w:cs="楷体"/>
          <w:b w:val="0"/>
          <w:sz w:val="32"/>
          <w:szCs w:val="32"/>
          <w:shd w:val="clear" w:color="auto" w:fill="FFFFFF"/>
        </w:rPr>
      </w:pPr>
      <w:r>
        <w:rPr>
          <w:rStyle w:val="16"/>
          <w:rFonts w:hint="eastAsia" w:ascii="楷体_GB2312" w:hAnsi="楷体" w:eastAsia="楷体_GB2312" w:cs="楷体"/>
          <w:b w:val="0"/>
          <w:sz w:val="32"/>
          <w:szCs w:val="32"/>
          <w:shd w:val="clear" w:color="auto" w:fill="FFFFFF"/>
        </w:rPr>
        <w:t>（二）“三公”经费财政拨款支出决算具体情况说明</w:t>
      </w:r>
    </w:p>
    <w:p>
      <w:pPr>
        <w:pStyle w:val="13"/>
        <w:spacing w:before="0" w:beforeAutospacing="0" w:after="0" w:afterAutospacing="0" w:line="560" w:lineRule="exact"/>
        <w:ind w:firstLine="640" w:firstLineChars="200"/>
        <w:rPr>
          <w:rFonts w:hint="eastAsia" w:ascii="仿宋_GB2312" w:eastAsia="仿宋_GB2312"/>
          <w:sz w:val="32"/>
        </w:rPr>
      </w:pPr>
      <w:r>
        <w:rPr>
          <w:rFonts w:hint="eastAsia" w:ascii="仿宋_GB2312" w:eastAsia="仿宋_GB2312"/>
          <w:sz w:val="32"/>
        </w:rPr>
        <w:t>2020年度“三公”经费财政拨款支出决算中，公务接待费支出决算5.98万元，占18.08%,公务用车购置费及运行维护费支出决算27.09万元，占81.92%。其中：</w:t>
      </w:r>
    </w:p>
    <w:p>
      <w:pPr>
        <w:pStyle w:val="13"/>
        <w:spacing w:before="0" w:beforeAutospacing="0" w:after="0" w:afterAutospacing="0" w:line="560" w:lineRule="exact"/>
        <w:ind w:firstLine="640" w:firstLineChars="200"/>
        <w:rPr>
          <w:rFonts w:hint="eastAsia" w:ascii="仿宋_GB2312" w:eastAsia="仿宋_GB2312"/>
          <w:sz w:val="32"/>
        </w:rPr>
      </w:pPr>
      <w:r>
        <w:rPr>
          <w:rFonts w:hint="eastAsia" w:ascii="仿宋_GB2312" w:eastAsia="仿宋_GB2312"/>
          <w:sz w:val="32"/>
        </w:rPr>
        <w:t>1、因公出国（境）费支出决算为0万元，受新冠疫情影响，本年度未开展因公出国项目。</w:t>
      </w:r>
    </w:p>
    <w:p>
      <w:pPr>
        <w:pStyle w:val="13"/>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lang w:val="en-US" w:eastAsia="zh-CN"/>
        </w:rPr>
        <w:t>2</w:t>
      </w:r>
      <w:r>
        <w:rPr>
          <w:rFonts w:hint="eastAsia" w:ascii="仿宋_GB2312" w:eastAsia="仿宋_GB2312"/>
          <w:sz w:val="32"/>
        </w:rPr>
        <w:t>、公务接待费支出决算为5.98万元，全年国内公务接待批次（个）48次，国内公务接待人次（人）435人。主要是接待全国各地检察机关和国内相关部门交流工作和协办案件等。</w:t>
      </w:r>
    </w:p>
    <w:p>
      <w:pPr>
        <w:pStyle w:val="13"/>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lang w:val="en-US" w:eastAsia="zh-CN"/>
        </w:rPr>
        <w:t>3</w:t>
      </w:r>
      <w:r>
        <w:rPr>
          <w:rFonts w:hint="eastAsia" w:ascii="仿宋_GB2312" w:eastAsia="仿宋_GB2312"/>
          <w:sz w:val="32"/>
        </w:rPr>
        <w:t>、公务用车购置费及运行维护费支出决算为27.09万元，其中：公务用车购置费14.09万元，我单位更新公务用车1辆。公务用车运行维护费13万元，主要是用于执法执勤公务车辆所需的燃料费、维修费、过路过桥费和保险费等支出，截止2020年12月31日，我单位财政拨款开支的公务用车保有量为7辆。</w:t>
      </w:r>
    </w:p>
    <w:p>
      <w:pPr>
        <w:pStyle w:val="13"/>
        <w:spacing w:before="0" w:beforeAutospacing="0" w:after="0" w:afterAutospacing="0" w:line="560" w:lineRule="exact"/>
        <w:ind w:firstLine="640" w:firstLineChars="200"/>
        <w:outlineLvl w:val="1"/>
        <w:rPr>
          <w:rStyle w:val="16"/>
          <w:rFonts w:ascii="楷体_GB2312" w:hAnsi="楷体" w:eastAsia="楷体_GB2312" w:cs="楷体"/>
          <w:b w:val="0"/>
          <w:sz w:val="32"/>
          <w:szCs w:val="32"/>
          <w:shd w:val="clear" w:color="auto" w:fill="FFFFFF"/>
        </w:rPr>
      </w:pPr>
      <w:bookmarkStart w:id="29" w:name="_Toc5526"/>
      <w:bookmarkStart w:id="30" w:name="_Toc25792"/>
      <w:r>
        <w:rPr>
          <w:rStyle w:val="16"/>
          <w:rFonts w:hint="eastAsia" w:ascii="楷体_GB2312" w:hAnsi="楷体" w:eastAsia="楷体_GB2312" w:cs="楷体"/>
          <w:b w:val="0"/>
          <w:sz w:val="32"/>
          <w:szCs w:val="32"/>
          <w:shd w:val="clear" w:color="auto" w:fill="FFFFFF"/>
        </w:rPr>
        <w:t>八、政府性基金预算收入支出决算情况</w:t>
      </w:r>
      <w:bookmarkEnd w:id="29"/>
      <w:bookmarkEnd w:id="30"/>
    </w:p>
    <w:p>
      <w:pPr>
        <w:pStyle w:val="13"/>
        <w:spacing w:before="0" w:beforeAutospacing="0" w:after="0" w:afterAutospacing="0" w:line="560" w:lineRule="exact"/>
        <w:ind w:firstLine="640" w:firstLineChars="200"/>
        <w:rPr>
          <w:rFonts w:eastAsia="仿宋_GB2312"/>
          <w:sz w:val="32"/>
        </w:rPr>
      </w:pPr>
      <w:r>
        <w:rPr>
          <w:rFonts w:eastAsia="仿宋_GB2312"/>
          <w:sz w:val="32"/>
        </w:rPr>
        <w:t>20</w:t>
      </w:r>
      <w:r>
        <w:rPr>
          <w:rFonts w:hint="eastAsia" w:eastAsia="仿宋_GB2312"/>
          <w:sz w:val="32"/>
        </w:rPr>
        <w:t>20</w:t>
      </w:r>
      <w:r>
        <w:rPr>
          <w:rFonts w:eastAsia="仿宋_GB2312"/>
          <w:sz w:val="32"/>
        </w:rPr>
        <w:t>年度本单位无政府性基金收支</w:t>
      </w:r>
      <w:r>
        <w:rPr>
          <w:rFonts w:hint="eastAsia" w:eastAsia="仿宋_GB2312"/>
          <w:sz w:val="32"/>
        </w:rPr>
        <w:t>。</w:t>
      </w:r>
    </w:p>
    <w:p>
      <w:pPr>
        <w:pStyle w:val="13"/>
        <w:spacing w:before="0" w:beforeAutospacing="0" w:after="0" w:afterAutospacing="0" w:line="560" w:lineRule="exact"/>
        <w:ind w:firstLine="640" w:firstLineChars="200"/>
        <w:rPr>
          <w:rStyle w:val="16"/>
          <w:rFonts w:ascii="楷体_GB2312" w:hAnsi="楷体" w:eastAsia="楷体_GB2312" w:cs="楷体"/>
          <w:b w:val="0"/>
          <w:color w:val="FF0000"/>
          <w:shd w:val="clear" w:color="auto" w:fill="FFFFFF"/>
        </w:rPr>
      </w:pPr>
      <w:bookmarkStart w:id="31" w:name="_Toc5899"/>
      <w:bookmarkStart w:id="32" w:name="_Toc7846"/>
      <w:r>
        <w:rPr>
          <w:rStyle w:val="16"/>
          <w:rFonts w:hint="eastAsia" w:ascii="楷体_GB2312" w:hAnsi="楷体" w:eastAsia="楷体_GB2312" w:cs="楷体"/>
          <w:b w:val="0"/>
          <w:sz w:val="32"/>
          <w:szCs w:val="32"/>
          <w:shd w:val="clear" w:color="auto" w:fill="FFFFFF"/>
        </w:rPr>
        <w:t>九、关于机关运行经费支出说明</w:t>
      </w:r>
    </w:p>
    <w:p>
      <w:pPr>
        <w:pStyle w:val="13"/>
        <w:spacing w:before="0" w:beforeAutospacing="0" w:after="0" w:afterAutospacing="0" w:line="560" w:lineRule="exact"/>
        <w:ind w:firstLine="640" w:firstLineChars="200"/>
        <w:rPr>
          <w:rFonts w:hint="eastAsia" w:ascii="仿宋_GB2312" w:eastAsia="仿宋_GB2312" w:cs="宋体"/>
          <w:sz w:val="32"/>
          <w:szCs w:val="32"/>
          <w:lang w:val="en-US" w:eastAsia="zh-CN"/>
        </w:rPr>
      </w:pPr>
      <w:r>
        <w:rPr>
          <w:rFonts w:hint="eastAsia" w:ascii="仿宋_GB2312" w:eastAsia="仿宋_GB2312"/>
          <w:sz w:val="32"/>
        </w:rPr>
        <w:t>本单位2020年度机关运行经费支出468.04万元，比2019年减少125.76万元，降低21.18%。主要原因是：</w:t>
      </w:r>
      <w:r>
        <w:rPr>
          <w:rFonts w:hint="eastAsia" w:ascii="仿宋_GB2312" w:eastAsia="仿宋_GB2312" w:cs="宋体"/>
          <w:sz w:val="32"/>
          <w:szCs w:val="32"/>
          <w:lang w:val="en-US" w:eastAsia="zh-CN"/>
        </w:rPr>
        <w:t>压缩一般性经费支出，同时因疫情因素影响，各项活动经费大幅减少以及餐补等支出通过地方财政保障。</w:t>
      </w:r>
    </w:p>
    <w:p>
      <w:pPr>
        <w:pStyle w:val="13"/>
        <w:spacing w:before="0" w:beforeAutospacing="0" w:after="0" w:afterAutospacing="0" w:line="560" w:lineRule="exact"/>
        <w:ind w:firstLine="640" w:firstLineChars="200"/>
        <w:rPr>
          <w:rFonts w:ascii="仿宋_GB2312" w:eastAsia="仿宋_GB2312"/>
          <w:color w:val="FF0000"/>
          <w:sz w:val="32"/>
          <w:highlight w:val="yellow"/>
        </w:rPr>
      </w:pPr>
      <w:r>
        <w:rPr>
          <w:rStyle w:val="16"/>
          <w:rFonts w:hint="eastAsia" w:ascii="楷体_GB2312" w:hAnsi="楷体" w:eastAsia="楷体_GB2312" w:cs="楷体"/>
          <w:b w:val="0"/>
          <w:sz w:val="32"/>
          <w:szCs w:val="32"/>
          <w:shd w:val="clear" w:color="auto" w:fill="FFFFFF"/>
        </w:rPr>
        <w:t>十、一般性支出情况</w:t>
      </w:r>
    </w:p>
    <w:p>
      <w:pPr>
        <w:pStyle w:val="13"/>
        <w:spacing w:before="0" w:beforeAutospacing="0" w:after="0" w:afterAutospacing="0" w:line="560" w:lineRule="exact"/>
        <w:ind w:firstLine="640" w:firstLineChars="200"/>
        <w:rPr>
          <w:rFonts w:hint="eastAsia" w:ascii="仿宋_GB2312" w:eastAsia="仿宋_GB2312"/>
          <w:sz w:val="32"/>
          <w:lang w:eastAsia="zh-CN"/>
        </w:rPr>
      </w:pPr>
      <w:r>
        <w:rPr>
          <w:rFonts w:hint="eastAsia" w:ascii="仿宋_GB2312" w:eastAsia="仿宋_GB2312"/>
          <w:sz w:val="32"/>
        </w:rPr>
        <w:t>2020年本单位会议费和培训费无开支</w:t>
      </w:r>
      <w:r>
        <w:rPr>
          <w:rFonts w:hint="eastAsia" w:ascii="仿宋_GB2312" w:eastAsia="仿宋_GB2312"/>
          <w:sz w:val="32"/>
          <w:lang w:eastAsia="zh-CN"/>
        </w:rPr>
        <w:t>，未举办节庆、晚会、论坛、赛事等活动。</w:t>
      </w:r>
    </w:p>
    <w:p>
      <w:pPr>
        <w:pStyle w:val="13"/>
        <w:spacing w:before="0" w:beforeAutospacing="0" w:after="0" w:afterAutospacing="0" w:line="560" w:lineRule="exact"/>
        <w:ind w:firstLine="640" w:firstLineChars="200"/>
        <w:rPr>
          <w:rStyle w:val="16"/>
          <w:rFonts w:ascii="楷体_GB2312" w:hAnsi="楷体" w:eastAsia="楷体_GB2312" w:cs="楷体"/>
          <w:b w:val="0"/>
          <w:color w:val="FF0000"/>
          <w:shd w:val="clear" w:color="auto" w:fill="FFFFFF"/>
        </w:rPr>
      </w:pPr>
      <w:r>
        <w:rPr>
          <w:rStyle w:val="16"/>
          <w:rFonts w:hint="eastAsia" w:ascii="楷体_GB2312" w:hAnsi="楷体" w:eastAsia="楷体_GB2312" w:cs="楷体"/>
          <w:b w:val="0"/>
          <w:sz w:val="32"/>
          <w:szCs w:val="32"/>
          <w:shd w:val="clear" w:color="auto" w:fill="FFFFFF"/>
        </w:rPr>
        <w:t>十一、关于政府采购支出说明</w:t>
      </w:r>
    </w:p>
    <w:p>
      <w:pPr>
        <w:pStyle w:val="13"/>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rPr>
        <w:t>本单位2020年度政府采购支出总额135.47万元，其中：政府采购货物支出135.47万元、政府采购工程支出0万元、政府采购服务支出0万元</w:t>
      </w:r>
      <w:r>
        <w:rPr>
          <w:rFonts w:hint="eastAsia" w:ascii="仿宋_GB2312" w:eastAsia="仿宋_GB2312"/>
          <w:sz w:val="32"/>
          <w:lang w:eastAsia="zh-CN"/>
        </w:rPr>
        <w:t>，授予中小企业合同金额</w:t>
      </w:r>
      <w:bookmarkStart w:id="37" w:name="_GoBack"/>
      <w:bookmarkEnd w:id="37"/>
      <w:r>
        <w:rPr>
          <w:rFonts w:hint="eastAsia" w:ascii="仿宋_GB2312" w:eastAsia="仿宋_GB2312"/>
          <w:sz w:val="32"/>
          <w:lang w:val="en-US" w:eastAsia="zh-CN"/>
        </w:rPr>
        <w:t>0</w:t>
      </w:r>
      <w:r>
        <w:rPr>
          <w:rFonts w:hint="eastAsia" w:ascii="仿宋_GB2312" w:eastAsia="仿宋_GB2312"/>
          <w:sz w:val="32"/>
          <w:lang w:eastAsia="zh-CN"/>
        </w:rPr>
        <w:t>万元，占政府采购支出总额的</w:t>
      </w:r>
      <w:r>
        <w:rPr>
          <w:rFonts w:hint="eastAsia" w:ascii="仿宋_GB2312" w:eastAsia="仿宋_GB2312"/>
          <w:sz w:val="32"/>
          <w:lang w:val="en-US" w:eastAsia="zh-CN"/>
        </w:rPr>
        <w:t>0</w:t>
      </w:r>
      <w:r>
        <w:rPr>
          <w:rFonts w:hint="eastAsia" w:ascii="仿宋_GB2312" w:eastAsia="仿宋_GB2312"/>
          <w:sz w:val="32"/>
          <w:lang w:eastAsia="zh-CN"/>
        </w:rPr>
        <w:t>%，其中：授予小微企业合同金额</w:t>
      </w:r>
      <w:r>
        <w:rPr>
          <w:rFonts w:hint="eastAsia" w:ascii="仿宋_GB2312" w:eastAsia="仿宋_GB2312"/>
          <w:sz w:val="32"/>
          <w:lang w:val="en-US" w:eastAsia="zh-CN"/>
        </w:rPr>
        <w:t>0</w:t>
      </w:r>
      <w:r>
        <w:rPr>
          <w:rFonts w:hint="eastAsia" w:ascii="仿宋_GB2312" w:eastAsia="仿宋_GB2312"/>
          <w:sz w:val="32"/>
          <w:lang w:eastAsia="zh-CN"/>
        </w:rPr>
        <w:t>万元，占政府采购支出总额的</w:t>
      </w:r>
      <w:r>
        <w:rPr>
          <w:rFonts w:hint="eastAsia" w:ascii="仿宋_GB2312" w:eastAsia="仿宋_GB2312"/>
          <w:sz w:val="32"/>
          <w:lang w:val="en-US" w:eastAsia="zh-CN"/>
        </w:rPr>
        <w:t>0</w:t>
      </w:r>
      <w:r>
        <w:rPr>
          <w:rFonts w:hint="eastAsia" w:ascii="仿宋_GB2312" w:eastAsia="仿宋_GB2312"/>
          <w:sz w:val="32"/>
          <w:lang w:eastAsia="zh-CN"/>
        </w:rPr>
        <w:t>%。</w:t>
      </w:r>
      <w:r>
        <w:rPr>
          <w:rFonts w:hint="eastAsia" w:ascii="仿宋_GB2312" w:eastAsia="仿宋_GB2312"/>
          <w:sz w:val="32"/>
        </w:rPr>
        <w:t>（政府采购金额的计算口径为：本单位纳入2020年度部门预算范围的各项政府采购支出金额之和，不包括涉密采购项目的支出金额）</w:t>
      </w:r>
    </w:p>
    <w:p>
      <w:pPr>
        <w:pStyle w:val="13"/>
        <w:spacing w:before="0" w:beforeAutospacing="0" w:after="0" w:afterAutospacing="0" w:line="560" w:lineRule="exact"/>
        <w:ind w:firstLine="640" w:firstLineChars="200"/>
        <w:rPr>
          <w:rStyle w:val="16"/>
          <w:rFonts w:ascii="楷体_GB2312" w:hAnsi="楷体" w:eastAsia="楷体_GB2312" w:cs="楷体"/>
          <w:b w:val="0"/>
          <w:sz w:val="32"/>
          <w:szCs w:val="32"/>
          <w:shd w:val="clear" w:color="auto" w:fill="FFFFFF"/>
        </w:rPr>
      </w:pPr>
      <w:r>
        <w:rPr>
          <w:rStyle w:val="16"/>
          <w:rFonts w:hint="eastAsia" w:ascii="楷体_GB2312" w:hAnsi="楷体" w:eastAsia="楷体_GB2312" w:cs="楷体"/>
          <w:b w:val="0"/>
          <w:sz w:val="32"/>
          <w:szCs w:val="32"/>
          <w:shd w:val="clear" w:color="auto" w:fill="FFFFFF"/>
        </w:rPr>
        <w:t>十二、关于国有资产占用情况说明</w:t>
      </w:r>
    </w:p>
    <w:p>
      <w:pPr>
        <w:pStyle w:val="13"/>
        <w:spacing w:before="0" w:beforeAutospacing="0" w:after="0" w:afterAutospacing="0" w:line="560" w:lineRule="exact"/>
        <w:ind w:firstLine="640" w:firstLineChars="200"/>
        <w:rPr>
          <w:rFonts w:ascii="仿宋_GB2312" w:eastAsia="仿宋_GB2312"/>
          <w:sz w:val="32"/>
        </w:rPr>
      </w:pPr>
      <w:r>
        <w:rPr>
          <w:rFonts w:ascii="仿宋_GB2312" w:eastAsia="仿宋_GB2312"/>
          <w:sz w:val="32"/>
        </w:rPr>
        <w:t>截至20</w:t>
      </w:r>
      <w:r>
        <w:rPr>
          <w:rFonts w:hint="eastAsia" w:ascii="仿宋_GB2312" w:eastAsia="仿宋_GB2312"/>
          <w:sz w:val="32"/>
        </w:rPr>
        <w:t>20</w:t>
      </w:r>
      <w:r>
        <w:rPr>
          <w:rFonts w:ascii="仿宋_GB2312" w:eastAsia="仿宋_GB2312"/>
          <w:sz w:val="32"/>
        </w:rPr>
        <w:t>年12月31日，</w:t>
      </w:r>
      <w:r>
        <w:rPr>
          <w:rFonts w:hint="eastAsia" w:ascii="仿宋_GB2312" w:eastAsia="仿宋_GB2312"/>
          <w:sz w:val="32"/>
        </w:rPr>
        <w:t>本单位</w:t>
      </w:r>
      <w:r>
        <w:rPr>
          <w:rFonts w:ascii="仿宋_GB2312" w:eastAsia="仿宋_GB2312"/>
          <w:sz w:val="32"/>
        </w:rPr>
        <w:t>共有车辆</w:t>
      </w:r>
      <w:r>
        <w:rPr>
          <w:rFonts w:hint="eastAsia" w:ascii="仿宋_GB2312" w:eastAsia="仿宋_GB2312"/>
          <w:sz w:val="32"/>
        </w:rPr>
        <w:t>7</w:t>
      </w:r>
      <w:r>
        <w:rPr>
          <w:rFonts w:ascii="仿宋_GB2312" w:eastAsia="仿宋_GB2312"/>
          <w:sz w:val="32"/>
        </w:rPr>
        <w:t>辆，</w:t>
      </w:r>
      <w:r>
        <w:rPr>
          <w:rFonts w:hint="eastAsia" w:ascii="仿宋_GB2312" w:eastAsia="仿宋_GB2312"/>
          <w:sz w:val="32"/>
        </w:rPr>
        <w:t>全部为执法执勤用车</w:t>
      </w:r>
      <w:r>
        <w:rPr>
          <w:rFonts w:ascii="仿宋_GB2312" w:eastAsia="仿宋_GB2312"/>
          <w:sz w:val="32"/>
        </w:rPr>
        <w:t>；单位价值50万元以上通用设备</w:t>
      </w:r>
      <w:r>
        <w:rPr>
          <w:rFonts w:hint="eastAsia" w:ascii="仿宋_GB2312" w:eastAsia="仿宋_GB2312"/>
          <w:sz w:val="32"/>
        </w:rPr>
        <w:t>0</w:t>
      </w:r>
      <w:r>
        <w:rPr>
          <w:rFonts w:ascii="仿宋_GB2312" w:eastAsia="仿宋_GB2312"/>
          <w:sz w:val="32"/>
        </w:rPr>
        <w:t>台（套）；单位价值100万元以上专用设备</w:t>
      </w:r>
      <w:r>
        <w:rPr>
          <w:rFonts w:hint="eastAsia" w:ascii="仿宋_GB2312" w:eastAsia="仿宋_GB2312"/>
          <w:sz w:val="32"/>
        </w:rPr>
        <w:t>0</w:t>
      </w:r>
      <w:r>
        <w:rPr>
          <w:rFonts w:ascii="仿宋_GB2312" w:eastAsia="仿宋_GB2312"/>
          <w:sz w:val="32"/>
        </w:rPr>
        <w:t>台（套）。</w:t>
      </w:r>
    </w:p>
    <w:p>
      <w:pPr>
        <w:pStyle w:val="13"/>
        <w:spacing w:before="0" w:beforeAutospacing="0" w:after="0" w:afterAutospacing="0" w:line="560" w:lineRule="exact"/>
        <w:ind w:firstLine="640" w:firstLineChars="200"/>
        <w:outlineLvl w:val="1"/>
        <w:rPr>
          <w:rStyle w:val="16"/>
          <w:rFonts w:ascii="楷体_GB2312" w:hAnsi="楷体" w:eastAsia="楷体_GB2312" w:cs="楷体"/>
          <w:b w:val="0"/>
          <w:sz w:val="32"/>
          <w:szCs w:val="32"/>
          <w:shd w:val="clear" w:color="auto" w:fill="FFFFFF"/>
        </w:rPr>
      </w:pPr>
      <w:r>
        <w:rPr>
          <w:rStyle w:val="16"/>
          <w:rFonts w:hint="eastAsia" w:ascii="楷体_GB2312" w:hAnsi="楷体" w:eastAsia="楷体_GB2312" w:cs="楷体"/>
          <w:b w:val="0"/>
          <w:sz w:val="32"/>
          <w:szCs w:val="32"/>
          <w:shd w:val="clear" w:color="auto" w:fill="FFFFFF"/>
        </w:rPr>
        <w:t>十三、关于2020年度预算绩效情况说明</w:t>
      </w:r>
      <w:bookmarkEnd w:id="31"/>
      <w:bookmarkEnd w:id="32"/>
    </w:p>
    <w:p>
      <w:pPr>
        <w:pStyle w:val="13"/>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rPr>
        <w:t>2020年，</w:t>
      </w:r>
      <w:r>
        <w:rPr>
          <w:rFonts w:ascii="仿宋_GB2312" w:eastAsia="仿宋_GB2312"/>
          <w:sz w:val="32"/>
        </w:rPr>
        <w:t>我院大力加强预算管理，</w:t>
      </w:r>
      <w:r>
        <w:rPr>
          <w:rFonts w:hint="eastAsia" w:ascii="仿宋_GB2312" w:eastAsia="仿宋_GB2312"/>
          <w:sz w:val="32"/>
        </w:rPr>
        <w:t>强化绩效和责任意识，切实提高资金使用效益，</w:t>
      </w:r>
      <w:r>
        <w:rPr>
          <w:rFonts w:ascii="仿宋_GB2312" w:eastAsia="仿宋_GB2312"/>
          <w:sz w:val="32"/>
        </w:rPr>
        <w:t>实施了一系列的管理举措，保障了</w:t>
      </w:r>
      <w:r>
        <w:rPr>
          <w:rFonts w:hint="eastAsia" w:ascii="仿宋_GB2312" w:eastAsia="仿宋_GB2312"/>
          <w:sz w:val="32"/>
        </w:rPr>
        <w:t>部门年度</w:t>
      </w:r>
      <w:r>
        <w:rPr>
          <w:rFonts w:ascii="仿宋_GB2312" w:eastAsia="仿宋_GB2312"/>
          <w:sz w:val="32"/>
        </w:rPr>
        <w:t>绩效目标</w:t>
      </w:r>
      <w:r>
        <w:rPr>
          <w:rFonts w:hint="eastAsia" w:ascii="仿宋_GB2312" w:eastAsia="仿宋_GB2312"/>
          <w:sz w:val="32"/>
        </w:rPr>
        <w:t>顺利</w:t>
      </w:r>
      <w:r>
        <w:rPr>
          <w:rFonts w:ascii="仿宋_GB2312" w:eastAsia="仿宋_GB2312"/>
          <w:sz w:val="32"/>
        </w:rPr>
        <w:t>达成。</w:t>
      </w:r>
    </w:p>
    <w:p>
      <w:pPr>
        <w:pStyle w:val="13"/>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rPr>
        <w:t>(一)加强预算编制管理，严格预算执行。我院进一步加强预算编制管理，实事求是、全面细致地进行预算编制，提高项目支出预算编制的全面性、精准性。</w:t>
      </w:r>
    </w:p>
    <w:p>
      <w:pPr>
        <w:pStyle w:val="13"/>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rPr>
        <w:t>（二）预算执行水平和资金使用效益明显提高。2020年，我院全年预算数为2579.86万元，执行数为2425.26万元，全年预算执行率为94.01%，我院财政资金使用绩效和预算执行水平不断提高。</w:t>
      </w:r>
    </w:p>
    <w:p>
      <w:pPr>
        <w:pStyle w:val="13"/>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rPr>
        <w:t>（三）绩效管理和监督机制不断完善。一是通过积极组织学习省财政厅关于绩效评价操作规程、管理办法的相关文件，将预算绩效理念贯穿预算编制及执行全过程，进一步细化、量化预算绩效指标。二是不断增强绩效管理意识，建立相关的绩效监控机制，对预算支出及时进行纠偏，更好的发挥了财政资金的作用。</w:t>
      </w:r>
    </w:p>
    <w:p>
      <w:pPr>
        <w:pStyle w:val="13"/>
        <w:spacing w:before="0" w:beforeAutospacing="0" w:after="0" w:afterAutospacing="0" w:line="560" w:lineRule="exact"/>
        <w:rPr>
          <w:rFonts w:eastAsia="仿宋_GB2312"/>
          <w:sz w:val="32"/>
        </w:rPr>
      </w:pPr>
    </w:p>
    <w:p>
      <w:pPr>
        <w:pStyle w:val="13"/>
        <w:spacing w:before="0" w:beforeAutospacing="0" w:after="0" w:afterAutospacing="0" w:line="560" w:lineRule="exact"/>
        <w:ind w:firstLine="883" w:firstLineChars="200"/>
        <w:rPr>
          <w:rStyle w:val="16"/>
          <w:rFonts w:ascii="黑体" w:hAnsi="黑体" w:eastAsia="黑体" w:cs="黑体"/>
          <w:sz w:val="44"/>
          <w:szCs w:val="44"/>
          <w:shd w:val="clear" w:color="auto" w:fill="FFFFFF"/>
        </w:rPr>
      </w:pPr>
      <w:bookmarkStart w:id="33" w:name="_Toc6935"/>
      <w:bookmarkEnd w:id="33"/>
      <w:r>
        <w:rPr>
          <w:rStyle w:val="16"/>
          <w:rFonts w:ascii="黑体" w:hAnsi="黑体" w:eastAsia="黑体" w:cs="黑体"/>
          <w:sz w:val="44"/>
          <w:szCs w:val="44"/>
          <w:shd w:val="clear" w:color="auto" w:fill="FFFFFF"/>
        </w:rPr>
        <w:br w:type="page"/>
      </w:r>
      <w:bookmarkStart w:id="34" w:name="_Toc16970"/>
    </w:p>
    <w:p>
      <w:pPr>
        <w:pStyle w:val="13"/>
        <w:spacing w:before="0" w:beforeAutospacing="0" w:after="0" w:afterAutospacing="0" w:line="560" w:lineRule="exact"/>
        <w:ind w:firstLine="883" w:firstLineChars="200"/>
        <w:jc w:val="center"/>
        <w:outlineLvl w:val="0"/>
        <w:rPr>
          <w:rStyle w:val="16"/>
          <w:rFonts w:ascii="黑体" w:hAnsi="黑体" w:eastAsia="黑体" w:cs="黑体"/>
          <w:sz w:val="44"/>
          <w:szCs w:val="44"/>
          <w:shd w:val="clear" w:color="auto" w:fill="FFFFFF"/>
        </w:rPr>
      </w:pPr>
      <w:r>
        <w:rPr>
          <w:rStyle w:val="16"/>
          <w:rFonts w:hint="eastAsia" w:ascii="黑体" w:hAnsi="黑体" w:eastAsia="黑体" w:cs="黑体"/>
          <w:sz w:val="44"/>
          <w:szCs w:val="44"/>
          <w:shd w:val="clear" w:color="auto" w:fill="FFFFFF"/>
        </w:rPr>
        <w:t>第四部分 名词解释</w:t>
      </w:r>
      <w:bookmarkEnd w:id="34"/>
    </w:p>
    <w:p>
      <w:pPr>
        <w:pStyle w:val="13"/>
        <w:spacing w:before="0" w:beforeAutospacing="0" w:after="0" w:afterAutospacing="0" w:line="560" w:lineRule="exact"/>
        <w:ind w:firstLine="643" w:firstLineChars="200"/>
        <w:rPr>
          <w:rStyle w:val="16"/>
          <w:rFonts w:cs="宋体"/>
          <w:sz w:val="32"/>
          <w:szCs w:val="32"/>
          <w:shd w:val="clear" w:color="auto" w:fill="FFFFFF"/>
        </w:rPr>
      </w:pPr>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一、财政拨款收入</w:t>
      </w:r>
      <w:r>
        <w:rPr>
          <w:rStyle w:val="16"/>
          <w:rFonts w:ascii="楷体_GB2312" w:hAnsi="楷体" w:eastAsia="楷体_GB2312" w:cs="楷体"/>
          <w:shd w:val="clear" w:color="auto" w:fill="FFFFFF"/>
        </w:rPr>
        <w:t>：</w:t>
      </w:r>
      <w:r>
        <w:rPr>
          <w:rFonts w:ascii="仿宋_GB2312" w:hAnsi="Times New Roman" w:eastAsia="仿宋_GB2312" w:cs="仿宋_GB2312"/>
          <w:color w:val="353535"/>
          <w:sz w:val="32"/>
          <w:szCs w:val="32"/>
        </w:rPr>
        <w:t>指省本级财政当年拨付的资金。</w:t>
      </w:r>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二、其他收入</w:t>
      </w:r>
      <w:r>
        <w:rPr>
          <w:rStyle w:val="16"/>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指除财政拨款收入、事业收入等以外的收入。主要是指非本级财政拨款收入、补助收入、存款利息收入等。</w:t>
      </w:r>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三、上年结转和结余</w:t>
      </w:r>
      <w:r>
        <w:rPr>
          <w:rStyle w:val="16"/>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指以前年度尚未完成、结转到本年仍按原规定用途继续使用的资金，或项目已完成产生的结余资金。</w:t>
      </w:r>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四、年末结转和结余</w:t>
      </w:r>
      <w:r>
        <w:rPr>
          <w:rStyle w:val="16"/>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指单位按有关规定结转到下年或以后年度继续使用的资金，或项目已完成产生的结余资金。</w:t>
      </w:r>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五、公共安全支出（类）检察（款）</w:t>
      </w:r>
      <w:r>
        <w:rPr>
          <w:rStyle w:val="16"/>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指检察机关用于保障机构正常运行、开展检察业务工作的支出。</w:t>
      </w:r>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六、社会保障和就业支出（类）行政事业单位离退休（款）未归口管理的行政单位离退休（项）：</w:t>
      </w:r>
      <w:r>
        <w:rPr>
          <w:rFonts w:ascii="仿宋_GB2312" w:hAnsi="Times New Roman" w:eastAsia="仿宋_GB2312" w:cs="仿宋_GB2312"/>
          <w:color w:val="353535"/>
          <w:sz w:val="32"/>
          <w:szCs w:val="32"/>
        </w:rPr>
        <w:t>指单位用于未归口社保的离退休人员的工资性支出。</w:t>
      </w:r>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七、住房保障支出（类）住房改革支出（款）：</w:t>
      </w:r>
      <w:r>
        <w:rPr>
          <w:rFonts w:ascii="仿宋_GB2312" w:hAnsi="Times New Roman" w:eastAsia="仿宋_GB2312" w:cs="仿宋_GB2312"/>
          <w:color w:val="353535"/>
          <w:sz w:val="32"/>
          <w:szCs w:val="32"/>
        </w:rPr>
        <w:t>指单位按照国家政策规定用于住房改革方面的支出。</w:t>
      </w:r>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（一）住房公积金（项）</w:t>
      </w:r>
      <w:r>
        <w:rPr>
          <w:rStyle w:val="16"/>
          <w:rFonts w:ascii="楷体_GB2312" w:hAnsi="楷体" w:eastAsia="楷体_GB2312" w:cs="楷体"/>
          <w:b w:val="0"/>
          <w:sz w:val="32"/>
          <w:szCs w:val="32"/>
          <w:shd w:val="clear" w:color="auto" w:fill="FFFFFF"/>
        </w:rPr>
        <w:t>：</w:t>
      </w:r>
      <w:r>
        <w:rPr>
          <w:rFonts w:ascii="仿宋_GB2312" w:hAnsi="Times New Roman" w:eastAsia="仿宋_GB2312" w:cs="仿宋_GB2312"/>
          <w:color w:val="353535"/>
          <w:sz w:val="32"/>
          <w:szCs w:val="32"/>
        </w:rPr>
        <w:t>指按照国家统一规定，按规定比例为职工缴纳的住房公积金。</w:t>
      </w:r>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八、基本支出</w:t>
      </w:r>
      <w:r>
        <w:rPr>
          <w:rStyle w:val="16"/>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指为保障机构正常运转、完成日常工作任务而发生的人员支出和公用支出。</w:t>
      </w:r>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九、项目支出：</w:t>
      </w:r>
      <w:r>
        <w:rPr>
          <w:rFonts w:ascii="仿宋_GB2312" w:hAnsi="Times New Roman" w:eastAsia="仿宋_GB2312" w:cs="仿宋_GB2312"/>
          <w:color w:val="353535"/>
          <w:sz w:val="32"/>
          <w:szCs w:val="32"/>
        </w:rPr>
        <w:t>指在基本支出以外为完成特定任务和事业发展目标所发生的支出。</w:t>
      </w:r>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十、“ 三公” 经费财政拨款支出：</w:t>
      </w:r>
      <w:r>
        <w:rPr>
          <w:rFonts w:ascii="仿宋_GB2312" w:hAnsi="Times New Roman" w:eastAsia="仿宋_GB2312" w:cs="仿宋_GB2312"/>
          <w:color w:val="353535"/>
          <w:sz w:val="32"/>
          <w:szCs w:val="32"/>
        </w:rPr>
        <w:t>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过路过桥费、保险费等支出；公务接待费指单位按规定开支的各种公务接待（含外宾接待）支出。</w:t>
      </w:r>
    </w:p>
    <w:p>
      <w:pPr>
        <w:adjustRightInd w:val="0"/>
        <w:snapToGrid w:val="0"/>
        <w:spacing w:line="560" w:lineRule="exact"/>
        <w:ind w:firstLine="640" w:firstLineChars="200"/>
        <w:rPr>
          <w:rFonts w:ascii="仿宋_GB2312" w:hAnsi="Times New Roman" w:eastAsia="仿宋_GB2312" w:cs="仿宋_GB2312"/>
          <w:color w:val="353535"/>
          <w:sz w:val="32"/>
          <w:szCs w:val="32"/>
        </w:rPr>
      </w:pPr>
      <w:r>
        <w:rPr>
          <w:rStyle w:val="16"/>
          <w:rFonts w:hint="eastAsia" w:ascii="楷体_GB2312" w:hAnsi="楷体" w:eastAsia="楷体_GB2312" w:cs="楷体"/>
          <w:b w:val="0"/>
          <w:sz w:val="32"/>
          <w:szCs w:val="32"/>
          <w:shd w:val="clear" w:color="auto" w:fill="FFFFFF"/>
        </w:rPr>
        <w:t>十一、机关运行经费</w:t>
      </w:r>
      <w:r>
        <w:rPr>
          <w:rFonts w:hint="eastAsia" w:ascii="楷体_GB2312" w:eastAsia="楷体_GB2312" w:cs="黑体"/>
          <w:b/>
          <w:color w:val="353535"/>
          <w:sz w:val="32"/>
          <w:szCs w:val="32"/>
        </w:rPr>
        <w:t>：</w:t>
      </w:r>
      <w:r>
        <w:rPr>
          <w:rFonts w:ascii="仿宋_GB2312" w:hAnsi="Times New Roman" w:eastAsia="仿宋_GB2312" w:cs="仿宋_GB2312"/>
          <w:color w:val="353535"/>
          <w:sz w:val="32"/>
          <w:szCs w:val="32"/>
        </w:rPr>
        <w:t>为保障单位运行用于购买货物和服务的各项资金，包括办公及印刷费、邮电费、差旅费、会议费、福利费、日常维修费、专用材料及一般设备购置费、办公用房水电费、办公用房取暖费、办公用房物业管理费、公务用车运行维护费用及其他费用。</w:t>
      </w:r>
    </w:p>
    <w:p>
      <w:pPr>
        <w:adjustRightInd w:val="0"/>
        <w:snapToGrid w:val="0"/>
        <w:spacing w:line="560" w:lineRule="exact"/>
        <w:ind w:firstLine="640" w:firstLineChars="200"/>
        <w:rPr>
          <w:rFonts w:ascii="仿宋_GB2312" w:hAnsi="Times New Roman" w:eastAsia="仿宋_GB2312" w:cs="仿宋_GB2312"/>
          <w:color w:val="353535"/>
          <w:sz w:val="32"/>
          <w:szCs w:val="32"/>
        </w:rPr>
      </w:pPr>
    </w:p>
    <w:p>
      <w:pPr>
        <w:rPr>
          <w:rStyle w:val="16"/>
          <w:rFonts w:ascii="黑体" w:hAnsi="黑体" w:eastAsia="黑体" w:cs="黑体"/>
          <w:sz w:val="32"/>
          <w:szCs w:val="32"/>
          <w:shd w:val="clear" w:color="auto" w:fill="FFFFFF"/>
        </w:rPr>
      </w:pPr>
      <w:bookmarkStart w:id="35" w:name="_Toc5800"/>
      <w:r>
        <w:rPr>
          <w:rStyle w:val="16"/>
          <w:rFonts w:ascii="黑体" w:hAnsi="黑体" w:eastAsia="黑体" w:cs="黑体"/>
          <w:sz w:val="32"/>
          <w:szCs w:val="32"/>
          <w:shd w:val="clear" w:color="auto" w:fill="FFFFFF"/>
        </w:rPr>
        <w:br w:type="page"/>
      </w:r>
    </w:p>
    <w:p>
      <w:pPr>
        <w:pStyle w:val="13"/>
        <w:spacing w:before="0" w:beforeAutospacing="0" w:after="0" w:afterAutospacing="0" w:line="560" w:lineRule="exact"/>
        <w:ind w:firstLine="883" w:firstLineChars="200"/>
        <w:jc w:val="center"/>
        <w:outlineLvl w:val="0"/>
        <w:rPr>
          <w:rStyle w:val="16"/>
          <w:rFonts w:ascii="黑体" w:hAnsi="黑体" w:eastAsia="黑体" w:cs="黑体"/>
          <w:sz w:val="44"/>
          <w:szCs w:val="44"/>
          <w:shd w:val="clear" w:color="auto" w:fill="FFFFFF"/>
        </w:rPr>
      </w:pPr>
      <w:r>
        <w:rPr>
          <w:rStyle w:val="16"/>
          <w:rFonts w:hint="eastAsia" w:ascii="黑体" w:hAnsi="黑体" w:eastAsia="黑体" w:cs="黑体"/>
          <w:sz w:val="44"/>
          <w:szCs w:val="44"/>
          <w:shd w:val="clear" w:color="auto" w:fill="FFFFFF"/>
        </w:rPr>
        <w:t>第五部分 附件</w:t>
      </w:r>
      <w:bookmarkEnd w:id="35"/>
    </w:p>
    <w:p>
      <w:pPr>
        <w:pStyle w:val="13"/>
        <w:adjustRightInd w:val="0"/>
        <w:snapToGrid w:val="0"/>
        <w:spacing w:before="0" w:beforeAutospacing="0" w:after="0" w:afterAutospacing="0" w:line="560" w:lineRule="exact"/>
        <w:ind w:firstLine="640" w:firstLineChars="200"/>
        <w:jc w:val="both"/>
        <w:outlineLvl w:val="1"/>
        <w:rPr>
          <w:rStyle w:val="16"/>
          <w:rFonts w:ascii="楷体_GB2312" w:hAnsi="楷体" w:eastAsia="楷体_GB2312" w:cs="楷体"/>
          <w:b w:val="0"/>
          <w:sz w:val="32"/>
          <w:szCs w:val="32"/>
          <w:shd w:val="clear" w:color="auto" w:fill="FFFFFF"/>
        </w:rPr>
      </w:pPr>
      <w:bookmarkStart w:id="36" w:name="_Toc20411"/>
      <w:r>
        <w:rPr>
          <w:rStyle w:val="16"/>
          <w:rFonts w:hint="eastAsia" w:ascii="楷体_GB2312" w:hAnsi="楷体" w:eastAsia="楷体_GB2312" w:cs="楷体"/>
          <w:b w:val="0"/>
          <w:sz w:val="32"/>
          <w:szCs w:val="32"/>
          <w:shd w:val="clear" w:color="auto" w:fill="FFFFFF"/>
        </w:rPr>
        <w:t>2020年度部门整体支出绩效评价报告</w:t>
      </w:r>
      <w:bookmarkEnd w:id="36"/>
    </w:p>
    <w:p>
      <w:pPr>
        <w:pStyle w:val="13"/>
        <w:adjustRightInd w:val="0"/>
        <w:snapToGrid w:val="0"/>
        <w:spacing w:before="0" w:beforeAutospacing="0" w:after="0" w:afterAutospacing="0" w:line="560" w:lineRule="exact"/>
        <w:ind w:firstLine="640" w:firstLineChars="200"/>
        <w:jc w:val="both"/>
        <w:outlineLvl w:val="1"/>
        <w:rPr>
          <w:rStyle w:val="16"/>
          <w:rFonts w:ascii="楷体_GB2312" w:eastAsia="楷体_GB2312" w:cs="宋体"/>
          <w:b w:val="0"/>
          <w:sz w:val="32"/>
          <w:szCs w:val="32"/>
          <w:shd w:val="clear" w:color="auto" w:fill="FFFFFF"/>
        </w:rPr>
      </w:pPr>
      <w:r>
        <w:rPr>
          <w:rStyle w:val="16"/>
          <w:rFonts w:hint="eastAsia" w:ascii="楷体_GB2312" w:hAnsi="楷体" w:eastAsia="楷体_GB2312" w:cs="楷体"/>
          <w:b w:val="0"/>
          <w:sz w:val="32"/>
          <w:szCs w:val="32"/>
          <w:shd w:val="clear" w:color="auto" w:fill="FFFFFF"/>
        </w:rPr>
        <w:t>（https://www.hn.jcy.gov.cn/xwfb/</w:t>
      </w:r>
      <w:r>
        <w:rPr>
          <w:rStyle w:val="16"/>
          <w:rFonts w:hint="eastAsia" w:ascii="楷体_GB2312" w:hAnsi="楷体" w:eastAsia="楷体_GB2312" w:cs="楷体"/>
          <w:b w:val="0"/>
          <w:sz w:val="32"/>
          <w:szCs w:val="32"/>
          <w:shd w:val="clear" w:color="auto" w:fill="FFFFFF"/>
          <w:lang w:val="en-US" w:eastAsia="zh-CN"/>
        </w:rPr>
        <w:t>czxx/qtczxxgk</w:t>
      </w:r>
      <w:r>
        <w:rPr>
          <w:rStyle w:val="16"/>
          <w:rFonts w:hint="eastAsia" w:ascii="楷体_GB2312" w:hAnsi="楷体" w:eastAsia="楷体_GB2312" w:cs="楷体"/>
          <w:b w:val="0"/>
          <w:sz w:val="32"/>
          <w:szCs w:val="32"/>
          <w:shd w:val="clear" w:color="auto" w:fill="FFFFFF"/>
        </w:rPr>
        <w:t>/2021</w:t>
      </w:r>
      <w:r>
        <w:rPr>
          <w:rStyle w:val="16"/>
          <w:rFonts w:hint="eastAsia" w:ascii="楷体_GB2312" w:hAnsi="楷体" w:eastAsia="楷体_GB2312" w:cs="楷体"/>
          <w:b w:val="0"/>
          <w:sz w:val="32"/>
          <w:szCs w:val="32"/>
          <w:shd w:val="clear" w:color="auto" w:fill="FFFFFF"/>
          <w:lang w:val="en-US" w:eastAsia="zh-CN"/>
        </w:rPr>
        <w:t>06/1464909166928723968</w:t>
      </w:r>
      <w:r>
        <w:rPr>
          <w:rStyle w:val="16"/>
          <w:rFonts w:hint="eastAsia" w:ascii="楷体_GB2312" w:hAnsi="楷体" w:eastAsia="楷体_GB2312" w:cs="楷体"/>
          <w:b w:val="0"/>
          <w:sz w:val="32"/>
          <w:szCs w:val="32"/>
          <w:shd w:val="clear" w:color="auto" w:fill="FFFFFF"/>
        </w:rPr>
        <w:t>.html）</w:t>
      </w:r>
    </w:p>
    <w:p>
      <w:pPr>
        <w:pStyle w:val="13"/>
        <w:adjustRightInd w:val="0"/>
        <w:snapToGrid w:val="0"/>
        <w:spacing w:before="0" w:beforeAutospacing="0" w:after="0" w:afterAutospacing="0" w:line="560" w:lineRule="exact"/>
        <w:ind w:firstLine="640" w:firstLineChars="200"/>
        <w:jc w:val="both"/>
        <w:outlineLvl w:val="1"/>
        <w:rPr>
          <w:rStyle w:val="16"/>
          <w:rFonts w:ascii="楷体_GB2312" w:eastAsia="楷体_GB2312" w:cs="宋体"/>
          <w:b w:val="0"/>
          <w:sz w:val="32"/>
          <w:szCs w:val="32"/>
          <w:shd w:val="clear" w:color="auto" w:fill="FFFFFF"/>
        </w:rPr>
      </w:pPr>
    </w:p>
    <w:sectPr>
      <w:pgSz w:w="11915" w:h="16851"/>
      <w:pgMar w:top="1731"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Arial Unicode MS"/>
    <w:panose1 w:val="00000000000000000000"/>
    <w:charset w:val="86"/>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24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BB5A1"/>
    <w:multiLevelType w:val="singleLevel"/>
    <w:tmpl w:val="2D8BB5A1"/>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noPunctuationKerning w:val="1"/>
  <w:characterSpacingControl w:val="doNotCompress"/>
  <w:hdrShapeDefaults>
    <o:shapelayout v:ext="edit">
      <o:idmap v:ext="edit" data="3,4"/>
    </o:shapelayout>
  </w:hdrShapeDefaults>
  <w:compat>
    <w:spaceForUL/>
    <w:doNotExpandShiftReturn/>
    <w:doNotWrapTextWithPunct/>
    <w:doNotUseEastAsianBreakRules/>
    <w:useFELayout/>
    <w:doNotUseIndentAsNumberingTabStop/>
    <w:useAltKinsokuLineBreakRules/>
    <w:compatSetting w:name="compatibilityMode" w:uri="http://schemas.microsoft.com/office/word" w:val="12"/>
  </w:compat>
  <w:rsids>
    <w:rsidRoot w:val="00EC66CC"/>
    <w:rsid w:val="00015CA7"/>
    <w:rsid w:val="0003424B"/>
    <w:rsid w:val="00065A1B"/>
    <w:rsid w:val="000A5402"/>
    <w:rsid w:val="000F3AED"/>
    <w:rsid w:val="001135DF"/>
    <w:rsid w:val="00173BD7"/>
    <w:rsid w:val="001A7D15"/>
    <w:rsid w:val="001C2466"/>
    <w:rsid w:val="001E6CFA"/>
    <w:rsid w:val="001F14FA"/>
    <w:rsid w:val="00203DBD"/>
    <w:rsid w:val="00213694"/>
    <w:rsid w:val="002222B8"/>
    <w:rsid w:val="002237AD"/>
    <w:rsid w:val="00230E07"/>
    <w:rsid w:val="00233D50"/>
    <w:rsid w:val="00246331"/>
    <w:rsid w:val="00264FC6"/>
    <w:rsid w:val="002834D4"/>
    <w:rsid w:val="00287B46"/>
    <w:rsid w:val="00294AFC"/>
    <w:rsid w:val="002A46CB"/>
    <w:rsid w:val="002B6F61"/>
    <w:rsid w:val="002C3F36"/>
    <w:rsid w:val="002C7590"/>
    <w:rsid w:val="002D5BC1"/>
    <w:rsid w:val="003028AF"/>
    <w:rsid w:val="003342B1"/>
    <w:rsid w:val="00362353"/>
    <w:rsid w:val="00384218"/>
    <w:rsid w:val="00405215"/>
    <w:rsid w:val="004205E8"/>
    <w:rsid w:val="00461015"/>
    <w:rsid w:val="004A411F"/>
    <w:rsid w:val="004D192C"/>
    <w:rsid w:val="00501BB5"/>
    <w:rsid w:val="00541068"/>
    <w:rsid w:val="00555B81"/>
    <w:rsid w:val="0058336D"/>
    <w:rsid w:val="0058406C"/>
    <w:rsid w:val="0060741A"/>
    <w:rsid w:val="006135E4"/>
    <w:rsid w:val="006638F5"/>
    <w:rsid w:val="0066760B"/>
    <w:rsid w:val="006678EB"/>
    <w:rsid w:val="006916AF"/>
    <w:rsid w:val="006973F1"/>
    <w:rsid w:val="00711065"/>
    <w:rsid w:val="00713A46"/>
    <w:rsid w:val="0072261D"/>
    <w:rsid w:val="00737BE1"/>
    <w:rsid w:val="00762623"/>
    <w:rsid w:val="00766512"/>
    <w:rsid w:val="00790AD3"/>
    <w:rsid w:val="007A112E"/>
    <w:rsid w:val="007B2AC6"/>
    <w:rsid w:val="007D61B8"/>
    <w:rsid w:val="007D7C27"/>
    <w:rsid w:val="00836B28"/>
    <w:rsid w:val="00845957"/>
    <w:rsid w:val="00845DEB"/>
    <w:rsid w:val="008642BF"/>
    <w:rsid w:val="008668F3"/>
    <w:rsid w:val="0088259E"/>
    <w:rsid w:val="00887309"/>
    <w:rsid w:val="00890678"/>
    <w:rsid w:val="00894463"/>
    <w:rsid w:val="008B6158"/>
    <w:rsid w:val="008B652E"/>
    <w:rsid w:val="008D7C7B"/>
    <w:rsid w:val="008E294B"/>
    <w:rsid w:val="008F7738"/>
    <w:rsid w:val="0092415A"/>
    <w:rsid w:val="00925036"/>
    <w:rsid w:val="00926E53"/>
    <w:rsid w:val="00933DCB"/>
    <w:rsid w:val="00936E58"/>
    <w:rsid w:val="00994616"/>
    <w:rsid w:val="009C05D6"/>
    <w:rsid w:val="009D48FC"/>
    <w:rsid w:val="00A16A5F"/>
    <w:rsid w:val="00A51815"/>
    <w:rsid w:val="00A60135"/>
    <w:rsid w:val="00A65253"/>
    <w:rsid w:val="00A92C29"/>
    <w:rsid w:val="00AC05C8"/>
    <w:rsid w:val="00AC4378"/>
    <w:rsid w:val="00AE681D"/>
    <w:rsid w:val="00B078AF"/>
    <w:rsid w:val="00B11484"/>
    <w:rsid w:val="00B131D0"/>
    <w:rsid w:val="00B23A22"/>
    <w:rsid w:val="00B23C28"/>
    <w:rsid w:val="00B27C6A"/>
    <w:rsid w:val="00B306DE"/>
    <w:rsid w:val="00B31773"/>
    <w:rsid w:val="00B34B8F"/>
    <w:rsid w:val="00B4008B"/>
    <w:rsid w:val="00B4680F"/>
    <w:rsid w:val="00B835DA"/>
    <w:rsid w:val="00B96FDD"/>
    <w:rsid w:val="00C2044E"/>
    <w:rsid w:val="00C21964"/>
    <w:rsid w:val="00C348C9"/>
    <w:rsid w:val="00C72B51"/>
    <w:rsid w:val="00C7421D"/>
    <w:rsid w:val="00C84B85"/>
    <w:rsid w:val="00CA4829"/>
    <w:rsid w:val="00CC59B5"/>
    <w:rsid w:val="00CF1F20"/>
    <w:rsid w:val="00CF3F85"/>
    <w:rsid w:val="00CF439A"/>
    <w:rsid w:val="00D0361D"/>
    <w:rsid w:val="00D06176"/>
    <w:rsid w:val="00D10644"/>
    <w:rsid w:val="00D26418"/>
    <w:rsid w:val="00D4202F"/>
    <w:rsid w:val="00D427A0"/>
    <w:rsid w:val="00D765F3"/>
    <w:rsid w:val="00D94AE2"/>
    <w:rsid w:val="00DB0AF9"/>
    <w:rsid w:val="00DE66AE"/>
    <w:rsid w:val="00E045B8"/>
    <w:rsid w:val="00E065F9"/>
    <w:rsid w:val="00E40DAC"/>
    <w:rsid w:val="00E44904"/>
    <w:rsid w:val="00E54A33"/>
    <w:rsid w:val="00E83D09"/>
    <w:rsid w:val="00EA1548"/>
    <w:rsid w:val="00EC66CC"/>
    <w:rsid w:val="00ED057D"/>
    <w:rsid w:val="00EE18C2"/>
    <w:rsid w:val="00F03544"/>
    <w:rsid w:val="00F147EF"/>
    <w:rsid w:val="00F448A9"/>
    <w:rsid w:val="00F53C12"/>
    <w:rsid w:val="00F56DAD"/>
    <w:rsid w:val="00F73FEC"/>
    <w:rsid w:val="00FC5E9C"/>
    <w:rsid w:val="01DE6F98"/>
    <w:rsid w:val="039C49E2"/>
    <w:rsid w:val="04027570"/>
    <w:rsid w:val="04DD1284"/>
    <w:rsid w:val="05810E1A"/>
    <w:rsid w:val="06F250B4"/>
    <w:rsid w:val="07367BE6"/>
    <w:rsid w:val="08D827F0"/>
    <w:rsid w:val="0BC555D1"/>
    <w:rsid w:val="0E306309"/>
    <w:rsid w:val="0F167DB7"/>
    <w:rsid w:val="10E07B77"/>
    <w:rsid w:val="14242D2B"/>
    <w:rsid w:val="154D3F81"/>
    <w:rsid w:val="15565523"/>
    <w:rsid w:val="1590788B"/>
    <w:rsid w:val="15CF176D"/>
    <w:rsid w:val="19644724"/>
    <w:rsid w:val="1B931B76"/>
    <w:rsid w:val="1B9E300F"/>
    <w:rsid w:val="1ECA5FDA"/>
    <w:rsid w:val="268526BC"/>
    <w:rsid w:val="315C6C0B"/>
    <w:rsid w:val="316454B2"/>
    <w:rsid w:val="31B5272C"/>
    <w:rsid w:val="333136FF"/>
    <w:rsid w:val="343C0D75"/>
    <w:rsid w:val="38044769"/>
    <w:rsid w:val="397E4A59"/>
    <w:rsid w:val="3B9466E2"/>
    <w:rsid w:val="3F765DCF"/>
    <w:rsid w:val="415278F4"/>
    <w:rsid w:val="49210366"/>
    <w:rsid w:val="49CD67CA"/>
    <w:rsid w:val="56A12120"/>
    <w:rsid w:val="59623A75"/>
    <w:rsid w:val="5A347214"/>
    <w:rsid w:val="5A3607FF"/>
    <w:rsid w:val="5A571812"/>
    <w:rsid w:val="5ADF16D1"/>
    <w:rsid w:val="5D720F12"/>
    <w:rsid w:val="5F535225"/>
    <w:rsid w:val="69125CEE"/>
    <w:rsid w:val="699B63C0"/>
    <w:rsid w:val="69D459D1"/>
    <w:rsid w:val="6A5E68A1"/>
    <w:rsid w:val="6D297537"/>
    <w:rsid w:val="6E926DD0"/>
    <w:rsid w:val="715619A3"/>
    <w:rsid w:val="7520140A"/>
    <w:rsid w:val="77385865"/>
    <w:rsid w:val="7B574D64"/>
    <w:rsid w:val="7C070C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Times New Roman"/>
      <w:sz w:val="24"/>
      <w:szCs w:val="24"/>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b/>
      <w:kern w:val="44"/>
      <w:sz w:val="48"/>
      <w:szCs w:val="48"/>
    </w:rPr>
  </w:style>
  <w:style w:type="paragraph" w:styleId="3">
    <w:name w:val="heading 2"/>
    <w:basedOn w:val="1"/>
    <w:next w:val="1"/>
    <w:qFormat/>
    <w:uiPriority w:val="9"/>
    <w:pPr>
      <w:spacing w:before="100" w:beforeAutospacing="1" w:after="100" w:afterAutospacing="1"/>
      <w:outlineLvl w:val="1"/>
    </w:pPr>
    <w:rPr>
      <w:rFonts w:hint="eastAsia"/>
      <w:b/>
      <w:sz w:val="36"/>
      <w:szCs w:val="36"/>
    </w:rPr>
  </w:style>
  <w:style w:type="paragraph" w:styleId="4">
    <w:name w:val="heading 3"/>
    <w:basedOn w:val="1"/>
    <w:next w:val="1"/>
    <w:qFormat/>
    <w:uiPriority w:val="9"/>
    <w:pPr>
      <w:spacing w:before="100" w:beforeAutospacing="1" w:after="100" w:afterAutospacing="1"/>
      <w:outlineLvl w:val="2"/>
    </w:pPr>
    <w:rPr>
      <w:rFonts w:hint="eastAsia"/>
      <w:b/>
      <w:sz w:val="27"/>
      <w:szCs w:val="27"/>
    </w:rPr>
  </w:style>
  <w:style w:type="paragraph" w:styleId="5">
    <w:name w:val="heading 4"/>
    <w:basedOn w:val="1"/>
    <w:next w:val="1"/>
    <w:qFormat/>
    <w:uiPriority w:val="9"/>
    <w:pPr>
      <w:spacing w:before="100" w:beforeAutospacing="1" w:after="100" w:afterAutospacing="1"/>
      <w:outlineLvl w:val="3"/>
    </w:pPr>
    <w:rPr>
      <w:rFonts w:hint="eastAsia"/>
      <w:b/>
    </w:rPr>
  </w:style>
  <w:style w:type="paragraph" w:styleId="6">
    <w:name w:val="heading 5"/>
    <w:basedOn w:val="1"/>
    <w:next w:val="1"/>
    <w:qFormat/>
    <w:uiPriority w:val="9"/>
    <w:pPr>
      <w:spacing w:before="100" w:beforeAutospacing="1" w:after="100" w:afterAutospacing="1"/>
      <w:outlineLvl w:val="4"/>
    </w:pPr>
    <w:rPr>
      <w:rFonts w:hint="eastAsia"/>
      <w:b/>
      <w:sz w:val="20"/>
      <w:szCs w:val="20"/>
    </w:rPr>
  </w:style>
  <w:style w:type="paragraph" w:styleId="7">
    <w:name w:val="heading 6"/>
    <w:basedOn w:val="1"/>
    <w:next w:val="1"/>
    <w:qFormat/>
    <w:uiPriority w:val="9"/>
    <w:pPr>
      <w:spacing w:before="100" w:beforeAutospacing="1" w:after="100" w:afterAutospacing="1"/>
      <w:outlineLvl w:val="5"/>
    </w:pPr>
    <w:rPr>
      <w:rFonts w:hint="eastAsia"/>
      <w:b/>
      <w:sz w:val="15"/>
      <w:szCs w:val="15"/>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8">
    <w:name w:val="footer"/>
    <w:basedOn w:val="1"/>
    <w:unhideWhenUsed/>
    <w:qFormat/>
    <w:uiPriority w:val="99"/>
    <w:pPr>
      <w:tabs>
        <w:tab w:val="center" w:pos="4153"/>
        <w:tab w:val="right" w:pos="8306"/>
      </w:tabs>
      <w:snapToGrid w:val="0"/>
    </w:pPr>
    <w:rPr>
      <w:sz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rPr>
  </w:style>
  <w:style w:type="paragraph" w:styleId="13">
    <w:name w:val="Normal (Web)"/>
    <w:basedOn w:val="1"/>
    <w:unhideWhenUsed/>
    <w:qFormat/>
    <w:uiPriority w:val="99"/>
    <w:pPr>
      <w:spacing w:before="100" w:beforeAutospacing="1" w:after="100" w:afterAutospacing="1"/>
    </w:pPr>
  </w:style>
  <w:style w:type="character" w:styleId="16">
    <w:name w:val="Strong"/>
    <w:basedOn w:val="15"/>
    <w:qFormat/>
    <w:uiPriority w:val="22"/>
    <w:rPr>
      <w:b/>
    </w:rPr>
  </w:style>
  <w:style w:type="character" w:styleId="17">
    <w:name w:val="FollowedHyperlink"/>
    <w:basedOn w:val="15"/>
    <w:semiHidden/>
    <w:unhideWhenUsed/>
    <w:qFormat/>
    <w:uiPriority w:val="99"/>
    <w:rPr>
      <w:color w:val="800080"/>
      <w:u w:val="single"/>
    </w:rPr>
  </w:style>
  <w:style w:type="character" w:styleId="18">
    <w:name w:val="Emphasis"/>
    <w:basedOn w:val="15"/>
    <w:qFormat/>
    <w:uiPriority w:val="20"/>
    <w:rPr>
      <w:i/>
    </w:rPr>
  </w:style>
  <w:style w:type="character" w:styleId="19">
    <w:name w:val="Hyperlink"/>
    <w:basedOn w:val="15"/>
    <w:semiHidden/>
    <w:unhideWhenUsed/>
    <w:qFormat/>
    <w:uiPriority w:val="99"/>
    <w:rPr>
      <w:color w:val="0000FF"/>
      <w:u w:val="single"/>
    </w:rPr>
  </w:style>
  <w:style w:type="character" w:customStyle="1" w:styleId="20">
    <w:name w:val="bsharetext"/>
    <w:basedOn w:val="15"/>
    <w:qFormat/>
    <w:uiPriority w:val="0"/>
  </w:style>
  <w:style w:type="character" w:customStyle="1" w:styleId="21">
    <w:name w:val="p12_blue"/>
    <w:basedOn w:val="15"/>
    <w:qFormat/>
    <w:uiPriority w:val="0"/>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分类号"/>
    <w:basedOn w:val="1"/>
    <w:qFormat/>
    <w:uiPriority w:val="0"/>
    <w:pPr>
      <w:widowControl w:val="0"/>
      <w:jc w:val="both"/>
    </w:pPr>
    <w:rPr>
      <w:rFonts w:ascii="仿宋_GB2312" w:hAnsi="Times New Roman" w:eastAsia="仿宋_GB2312"/>
      <w:kern w:val="2"/>
      <w:sz w:val="28"/>
      <w:szCs w:val="28"/>
    </w:rPr>
  </w:style>
  <w:style w:type="paragraph" w:customStyle="1" w:styleId="24">
    <w:name w:val="封面日期"/>
    <w:basedOn w:val="1"/>
    <w:qFormat/>
    <w:uiPriority w:val="0"/>
    <w:pPr>
      <w:widowControl w:val="0"/>
      <w:jc w:val="center"/>
    </w:pPr>
    <w:rPr>
      <w:rFonts w:ascii="黑体" w:hAnsi="Times New Roman" w:eastAsia="黑体"/>
      <w:kern w:val="2"/>
      <w:sz w:val="32"/>
      <w:szCs w:val="32"/>
    </w:rPr>
  </w:style>
  <w:style w:type="paragraph" w:customStyle="1" w:styleId="25">
    <w:name w:val="论文标题"/>
    <w:basedOn w:val="1"/>
    <w:qFormat/>
    <w:uiPriority w:val="0"/>
    <w:pPr>
      <w:widowControl w:val="0"/>
      <w:jc w:val="center"/>
    </w:pPr>
    <w:rPr>
      <w:rFonts w:ascii="Times New Roman" w:hAnsi="Times New Roman" w:eastAsia="楷体_GB2312"/>
      <w:b/>
      <w:kern w:val="36"/>
      <w:sz w:val="52"/>
      <w:szCs w:val="52"/>
    </w:rPr>
  </w:style>
  <w:style w:type="paragraph" w:customStyle="1" w:styleId="26">
    <w:name w:val="普通(网站)1"/>
    <w:basedOn w:val="1"/>
    <w:qFormat/>
    <w:uiPriority w:val="0"/>
    <w:pPr>
      <w:spacing w:before="100" w:beforeAutospacing="1" w:after="100" w:afterAutospacing="1"/>
    </w:p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
    <w:name w:val="硕士学位论文"/>
    <w:basedOn w:val="1"/>
    <w:qFormat/>
    <w:uiPriority w:val="0"/>
    <w:pPr>
      <w:widowControl w:val="0"/>
      <w:spacing w:before="240"/>
      <w:jc w:val="center"/>
    </w:pPr>
    <w:rPr>
      <w:rFonts w:ascii="Times New Roman" w:hAnsi="Times New Roman"/>
      <w:kern w:val="2"/>
      <w:sz w:val="44"/>
      <w:szCs w:val="44"/>
    </w:rPr>
  </w:style>
  <w:style w:type="paragraph" w:customStyle="1" w:styleId="29">
    <w:name w:val="研究生姓名"/>
    <w:basedOn w:val="1"/>
    <w:qFormat/>
    <w:uiPriority w:val="0"/>
    <w:pPr>
      <w:widowControl w:val="0"/>
      <w:ind w:firstLine="700" w:firstLineChars="700"/>
      <w:jc w:val="both"/>
    </w:pPr>
    <w:rPr>
      <w:rFonts w:ascii="Times New Roman" w:hAnsi="Times New Roman"/>
      <w:kern w:val="2"/>
      <w:sz w:val="28"/>
      <w:szCs w:val="28"/>
    </w:rPr>
  </w:style>
  <w:style w:type="paragraph" w:customStyle="1" w:styleId="3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31">
    <w:name w:val="xl65"/>
    <w:basedOn w:val="1"/>
    <w:qFormat/>
    <w:uiPriority w:val="0"/>
    <w:pPr>
      <w:shd w:val="clear" w:color="000000" w:fill="FFFFFF"/>
      <w:spacing w:before="100" w:beforeAutospacing="1" w:after="100" w:afterAutospacing="1"/>
      <w:textAlignment w:val="center"/>
    </w:pPr>
    <w:rPr>
      <w:rFonts w:cs="宋体"/>
      <w:sz w:val="18"/>
      <w:szCs w:val="18"/>
    </w:rPr>
  </w:style>
  <w:style w:type="paragraph" w:customStyle="1" w:styleId="32">
    <w:name w:val="xl66"/>
    <w:basedOn w:val="1"/>
    <w:qFormat/>
    <w:uiPriority w:val="0"/>
    <w:pPr>
      <w:pBdr>
        <w:right w:val="single" w:color="808080" w:sz="4" w:space="0"/>
      </w:pBdr>
      <w:shd w:val="clear" w:color="000000" w:fill="FFFFFF"/>
      <w:spacing w:before="100" w:beforeAutospacing="1" w:after="100" w:afterAutospacing="1"/>
      <w:jc w:val="right"/>
      <w:textAlignment w:val="center"/>
    </w:pPr>
    <w:rPr>
      <w:rFonts w:cs="宋体"/>
      <w:color w:val="000000"/>
      <w:sz w:val="22"/>
      <w:szCs w:val="22"/>
    </w:rPr>
  </w:style>
  <w:style w:type="paragraph" w:customStyle="1" w:styleId="33">
    <w:name w:val="xl67"/>
    <w:basedOn w:val="1"/>
    <w:qFormat/>
    <w:uiPriority w:val="0"/>
    <w:pPr>
      <w:pBdr>
        <w:bottom w:val="single" w:color="808080" w:sz="4" w:space="0"/>
      </w:pBdr>
      <w:shd w:val="clear" w:color="000000" w:fill="FFFFFF"/>
      <w:spacing w:before="100" w:beforeAutospacing="1" w:after="100" w:afterAutospacing="1"/>
      <w:textAlignment w:val="center"/>
    </w:pPr>
    <w:rPr>
      <w:rFonts w:cs="宋体"/>
      <w:color w:val="000000"/>
      <w:sz w:val="22"/>
      <w:szCs w:val="22"/>
    </w:rPr>
  </w:style>
  <w:style w:type="paragraph" w:customStyle="1" w:styleId="34">
    <w:name w:val="xl68"/>
    <w:basedOn w:val="1"/>
    <w:qFormat/>
    <w:uiPriority w:val="0"/>
    <w:pPr>
      <w:pBdr>
        <w:bottom w:val="single" w:color="808080" w:sz="4" w:space="0"/>
      </w:pBdr>
      <w:shd w:val="clear" w:color="000000" w:fill="FFFFFF"/>
      <w:spacing w:before="100" w:beforeAutospacing="1" w:after="100" w:afterAutospacing="1"/>
      <w:textAlignment w:val="center"/>
    </w:pPr>
    <w:rPr>
      <w:rFonts w:cs="宋体"/>
      <w:sz w:val="18"/>
      <w:szCs w:val="18"/>
    </w:rPr>
  </w:style>
  <w:style w:type="paragraph" w:customStyle="1" w:styleId="35">
    <w:name w:val="xl69"/>
    <w:basedOn w:val="1"/>
    <w:qFormat/>
    <w:uiPriority w:val="0"/>
    <w:pPr>
      <w:pBdr>
        <w:bottom w:val="single" w:color="808080" w:sz="4" w:space="0"/>
        <w:right w:val="single" w:color="808080" w:sz="4" w:space="0"/>
      </w:pBdr>
      <w:shd w:val="clear" w:color="000000" w:fill="FFFFFF"/>
      <w:spacing w:before="100" w:beforeAutospacing="1" w:after="100" w:afterAutospacing="1"/>
      <w:jc w:val="right"/>
      <w:textAlignment w:val="center"/>
    </w:pPr>
    <w:rPr>
      <w:rFonts w:cs="宋体"/>
      <w:color w:val="000000"/>
      <w:sz w:val="22"/>
      <w:szCs w:val="22"/>
    </w:rPr>
  </w:style>
  <w:style w:type="paragraph" w:customStyle="1" w:styleId="36">
    <w:name w:val="xl70"/>
    <w:basedOn w:val="1"/>
    <w:qFormat/>
    <w:uiPriority w:val="0"/>
    <w:pPr>
      <w:pBdr>
        <w:bottom w:val="single" w:color="000000" w:sz="4" w:space="0"/>
        <w:right w:val="single" w:color="000000" w:sz="4" w:space="0"/>
      </w:pBdr>
      <w:shd w:val="clear" w:color="000000" w:fill="FFFFFF"/>
      <w:spacing w:before="100" w:beforeAutospacing="1" w:after="100" w:afterAutospacing="1"/>
      <w:jc w:val="right"/>
      <w:textAlignment w:val="center"/>
    </w:pPr>
    <w:rPr>
      <w:rFonts w:cs="宋体"/>
    </w:rPr>
  </w:style>
  <w:style w:type="paragraph" w:customStyle="1" w:styleId="37">
    <w:name w:val="xl71"/>
    <w:basedOn w:val="1"/>
    <w:qFormat/>
    <w:uiPriority w:val="0"/>
    <w:pPr>
      <w:pBdr>
        <w:bottom w:val="single" w:color="808080" w:sz="4" w:space="0"/>
      </w:pBdr>
      <w:shd w:val="clear" w:color="000000" w:fill="FFFFFF"/>
      <w:spacing w:before="100" w:beforeAutospacing="1" w:after="100" w:afterAutospacing="1"/>
      <w:jc w:val="center"/>
      <w:textAlignment w:val="center"/>
    </w:pPr>
    <w:rPr>
      <w:rFonts w:cs="宋体"/>
      <w:color w:val="000000"/>
      <w:sz w:val="22"/>
      <w:szCs w:val="22"/>
    </w:rPr>
  </w:style>
  <w:style w:type="paragraph" w:customStyle="1" w:styleId="38">
    <w:name w:val="xl72"/>
    <w:basedOn w:val="1"/>
    <w:qFormat/>
    <w:uiPriority w:val="0"/>
    <w:pPr>
      <w:pBdr>
        <w:bottom w:val="single" w:color="000000" w:sz="4" w:space="0"/>
        <w:right w:val="single" w:color="000000" w:sz="4" w:space="0"/>
      </w:pBdr>
      <w:shd w:val="clear" w:color="000000" w:fill="C0C0C0"/>
      <w:spacing w:before="100" w:beforeAutospacing="1" w:after="100" w:afterAutospacing="1"/>
      <w:jc w:val="center"/>
      <w:textAlignment w:val="center"/>
    </w:pPr>
    <w:rPr>
      <w:rFonts w:cs="宋体"/>
    </w:rPr>
  </w:style>
  <w:style w:type="paragraph" w:customStyle="1" w:styleId="39">
    <w:name w:val="xl73"/>
    <w:basedOn w:val="1"/>
    <w:qFormat/>
    <w:uiPriority w:val="0"/>
    <w:pPr>
      <w:pBdr>
        <w:bottom w:val="single" w:color="000000" w:sz="4" w:space="0"/>
        <w:right w:val="single" w:color="000000" w:sz="4" w:space="0"/>
      </w:pBdr>
      <w:shd w:val="clear" w:color="000000" w:fill="FFFFFF"/>
      <w:spacing w:before="100" w:beforeAutospacing="1" w:after="100" w:afterAutospacing="1"/>
      <w:jc w:val="right"/>
      <w:textAlignment w:val="center"/>
    </w:pPr>
    <w:rPr>
      <w:rFonts w:cs="宋体"/>
      <w:b/>
      <w:bCs/>
    </w:rPr>
  </w:style>
  <w:style w:type="paragraph" w:customStyle="1" w:styleId="40">
    <w:name w:val="xl74"/>
    <w:basedOn w:val="1"/>
    <w:qFormat/>
    <w:uiPriority w:val="0"/>
    <w:pPr>
      <w:pBdr>
        <w:bottom w:val="single" w:color="000000" w:sz="4" w:space="0"/>
        <w:right w:val="single" w:color="000000" w:sz="4" w:space="0"/>
      </w:pBdr>
      <w:shd w:val="clear" w:color="000000" w:fill="C0C0C0"/>
      <w:spacing w:before="100" w:beforeAutospacing="1" w:after="100" w:afterAutospacing="1"/>
      <w:textAlignment w:val="center"/>
    </w:pPr>
    <w:rPr>
      <w:rFonts w:cs="宋体"/>
      <w:b/>
      <w:bCs/>
    </w:rPr>
  </w:style>
  <w:style w:type="paragraph" w:customStyle="1" w:styleId="41">
    <w:name w:val="xl75"/>
    <w:basedOn w:val="1"/>
    <w:qFormat/>
    <w:uiPriority w:val="0"/>
    <w:pPr>
      <w:pBdr>
        <w:bottom w:val="single" w:color="000000" w:sz="4" w:space="0"/>
        <w:right w:val="single" w:color="000000" w:sz="4" w:space="0"/>
      </w:pBdr>
      <w:shd w:val="clear" w:color="000000" w:fill="C0C0C0"/>
      <w:spacing w:before="100" w:beforeAutospacing="1" w:after="100" w:afterAutospacing="1"/>
      <w:jc w:val="right"/>
      <w:textAlignment w:val="center"/>
    </w:pPr>
    <w:rPr>
      <w:rFonts w:cs="宋体"/>
      <w:b/>
      <w:bCs/>
    </w:rPr>
  </w:style>
  <w:style w:type="paragraph" w:customStyle="1" w:styleId="42">
    <w:name w:val="xl76"/>
    <w:basedOn w:val="1"/>
    <w:qFormat/>
    <w:uiPriority w:val="0"/>
    <w:pPr>
      <w:pBdr>
        <w:bottom w:val="single" w:color="000000" w:sz="4" w:space="0"/>
        <w:right w:val="single" w:color="000000" w:sz="4" w:space="0"/>
      </w:pBdr>
      <w:shd w:val="clear" w:color="000000" w:fill="C0C0C0"/>
      <w:spacing w:before="100" w:beforeAutospacing="1" w:after="100" w:afterAutospacing="1"/>
      <w:textAlignment w:val="center"/>
    </w:pPr>
    <w:rPr>
      <w:rFonts w:cs="宋体"/>
      <w:b/>
      <w:bCs/>
      <w:sz w:val="18"/>
      <w:szCs w:val="18"/>
    </w:rPr>
  </w:style>
  <w:style w:type="paragraph" w:customStyle="1" w:styleId="43">
    <w:name w:val="xl77"/>
    <w:basedOn w:val="1"/>
    <w:qFormat/>
    <w:uiPriority w:val="0"/>
    <w:pPr>
      <w:pBdr>
        <w:bottom w:val="single" w:color="000000" w:sz="4" w:space="0"/>
        <w:right w:val="single" w:color="000000" w:sz="4" w:space="0"/>
      </w:pBdr>
      <w:shd w:val="clear" w:color="000000" w:fill="CCFFFF"/>
      <w:spacing w:before="100" w:beforeAutospacing="1" w:after="100" w:afterAutospacing="1"/>
      <w:textAlignment w:val="center"/>
    </w:pPr>
    <w:rPr>
      <w:rFonts w:cs="宋体"/>
    </w:rPr>
  </w:style>
  <w:style w:type="paragraph" w:customStyle="1" w:styleId="44">
    <w:name w:val="xl78"/>
    <w:basedOn w:val="1"/>
    <w:qFormat/>
    <w:uiPriority w:val="0"/>
    <w:pPr>
      <w:pBdr>
        <w:left w:val="single" w:color="000000" w:sz="4" w:space="0"/>
        <w:bottom w:val="single" w:color="000000" w:sz="4" w:space="0"/>
        <w:right w:val="single" w:color="000000" w:sz="4" w:space="0"/>
      </w:pBdr>
      <w:shd w:val="clear" w:color="000000" w:fill="C0C0C0"/>
      <w:spacing w:before="100" w:beforeAutospacing="1" w:after="100" w:afterAutospacing="1"/>
      <w:textAlignment w:val="center"/>
    </w:pPr>
    <w:rPr>
      <w:rFonts w:cs="宋体"/>
    </w:rPr>
  </w:style>
  <w:style w:type="paragraph" w:customStyle="1" w:styleId="45">
    <w:name w:val="xl79"/>
    <w:basedOn w:val="1"/>
    <w:qFormat/>
    <w:uiPriority w:val="0"/>
    <w:pPr>
      <w:pBdr>
        <w:bottom w:val="single" w:color="000000" w:sz="4" w:space="0"/>
        <w:right w:val="single" w:color="000000" w:sz="4" w:space="0"/>
      </w:pBdr>
      <w:spacing w:before="100" w:beforeAutospacing="1" w:after="100" w:afterAutospacing="1"/>
      <w:textAlignment w:val="center"/>
    </w:pPr>
    <w:rPr>
      <w:rFonts w:cs="宋体"/>
    </w:rPr>
  </w:style>
  <w:style w:type="paragraph" w:customStyle="1" w:styleId="46">
    <w:name w:val="xl80"/>
    <w:basedOn w:val="1"/>
    <w:qFormat/>
    <w:uiPriority w:val="0"/>
    <w:pPr>
      <w:pBdr>
        <w:bottom w:val="single" w:color="000000" w:sz="4" w:space="0"/>
        <w:right w:val="single" w:color="000000" w:sz="4" w:space="0"/>
      </w:pBdr>
      <w:spacing w:before="100" w:beforeAutospacing="1" w:after="100" w:afterAutospacing="1"/>
      <w:jc w:val="center"/>
      <w:textAlignment w:val="center"/>
    </w:pPr>
    <w:rPr>
      <w:rFonts w:cs="宋体"/>
    </w:rPr>
  </w:style>
  <w:style w:type="paragraph" w:customStyle="1" w:styleId="47">
    <w:name w:val="xl81"/>
    <w:basedOn w:val="1"/>
    <w:qFormat/>
    <w:uiPriority w:val="0"/>
    <w:pPr>
      <w:pBdr>
        <w:left w:val="single" w:color="000000" w:sz="4" w:space="0"/>
        <w:bottom w:val="single" w:color="000000" w:sz="4" w:space="0"/>
        <w:right w:val="single" w:color="000000" w:sz="4" w:space="0"/>
      </w:pBdr>
      <w:shd w:val="clear" w:color="000000" w:fill="C0C0C0"/>
      <w:spacing w:before="100" w:beforeAutospacing="1" w:after="100" w:afterAutospacing="1"/>
      <w:jc w:val="center"/>
      <w:textAlignment w:val="center"/>
    </w:pPr>
    <w:rPr>
      <w:rFonts w:cs="宋体"/>
    </w:rPr>
  </w:style>
  <w:style w:type="paragraph" w:customStyle="1" w:styleId="48">
    <w:name w:val="xl82"/>
    <w:basedOn w:val="1"/>
    <w:qFormat/>
    <w:uiPriority w:val="0"/>
    <w:pPr>
      <w:pBdr>
        <w:left w:val="single" w:color="000000" w:sz="4" w:space="0"/>
        <w:bottom w:val="single" w:color="000000" w:sz="4" w:space="0"/>
        <w:right w:val="single" w:color="000000" w:sz="4" w:space="0"/>
      </w:pBdr>
      <w:spacing w:before="100" w:beforeAutospacing="1" w:after="100" w:afterAutospacing="1"/>
      <w:jc w:val="center"/>
      <w:textAlignment w:val="center"/>
    </w:pPr>
    <w:rPr>
      <w:rFonts w:cs="宋体"/>
    </w:rPr>
  </w:style>
  <w:style w:type="paragraph" w:customStyle="1" w:styleId="49">
    <w:name w:val="xl83"/>
    <w:basedOn w:val="1"/>
    <w:qFormat/>
    <w:uiPriority w:val="0"/>
    <w:pPr>
      <w:pBdr>
        <w:bottom w:val="single" w:color="000000" w:sz="4" w:space="0"/>
        <w:right w:val="single" w:color="000000" w:sz="4" w:space="0"/>
      </w:pBdr>
      <w:shd w:val="clear" w:color="000000" w:fill="C0C0C0"/>
      <w:spacing w:before="100" w:beforeAutospacing="1" w:after="100" w:afterAutospacing="1"/>
      <w:jc w:val="center"/>
      <w:textAlignment w:val="center"/>
    </w:pPr>
    <w:rPr>
      <w:rFonts w:cs="宋体"/>
    </w:rPr>
  </w:style>
  <w:style w:type="paragraph" w:customStyle="1" w:styleId="50">
    <w:name w:val="xl84"/>
    <w:basedOn w:val="1"/>
    <w:qFormat/>
    <w:uiPriority w:val="0"/>
    <w:pPr>
      <w:pBdr>
        <w:bottom w:val="single" w:color="000000" w:sz="4" w:space="0"/>
        <w:right w:val="single" w:color="000000" w:sz="4" w:space="0"/>
      </w:pBdr>
      <w:spacing w:before="100" w:beforeAutospacing="1" w:after="100" w:afterAutospacing="1"/>
      <w:jc w:val="center"/>
      <w:textAlignment w:val="center"/>
    </w:pPr>
    <w:rPr>
      <w:rFonts w:cs="宋体"/>
    </w:rPr>
  </w:style>
  <w:style w:type="paragraph" w:customStyle="1" w:styleId="51">
    <w:name w:val="xl85"/>
    <w:basedOn w:val="1"/>
    <w:qFormat/>
    <w:uiPriority w:val="0"/>
    <w:pPr>
      <w:pBdr>
        <w:left w:val="single" w:color="000000" w:sz="4" w:space="0"/>
        <w:bottom w:val="single" w:color="000000" w:sz="4" w:space="0"/>
        <w:right w:val="single" w:color="000000" w:sz="4" w:space="0"/>
      </w:pBdr>
      <w:shd w:val="clear" w:color="000000" w:fill="C0C0C0"/>
      <w:spacing w:before="100" w:beforeAutospacing="1" w:after="100" w:afterAutospacing="1"/>
      <w:jc w:val="center"/>
      <w:textAlignment w:val="center"/>
    </w:pPr>
    <w:rPr>
      <w:rFonts w:cs="宋体"/>
    </w:rPr>
  </w:style>
  <w:style w:type="paragraph" w:customStyle="1" w:styleId="52">
    <w:name w:val="xl86"/>
    <w:basedOn w:val="1"/>
    <w:qFormat/>
    <w:uiPriority w:val="0"/>
    <w:pPr>
      <w:pBdr>
        <w:bottom w:val="single" w:color="000000" w:sz="4" w:space="0"/>
        <w:right w:val="single" w:color="000000" w:sz="4" w:space="0"/>
      </w:pBdr>
      <w:spacing w:before="100" w:beforeAutospacing="1" w:after="100" w:afterAutospacing="1"/>
      <w:jc w:val="center"/>
      <w:textAlignment w:val="center"/>
    </w:pPr>
    <w:rPr>
      <w:rFonts w:cs="宋体"/>
    </w:rPr>
  </w:style>
  <w:style w:type="paragraph" w:customStyle="1" w:styleId="53">
    <w:name w:val="xl87"/>
    <w:basedOn w:val="1"/>
    <w:qFormat/>
    <w:uiPriority w:val="0"/>
    <w:pPr>
      <w:pBdr>
        <w:left w:val="single" w:color="000000" w:sz="4" w:space="0"/>
        <w:bottom w:val="single" w:color="000000" w:sz="4" w:space="0"/>
        <w:right w:val="single" w:color="000000" w:sz="4" w:space="0"/>
      </w:pBdr>
      <w:shd w:val="clear" w:color="000000" w:fill="C0C0C0"/>
      <w:spacing w:before="100" w:beforeAutospacing="1" w:after="100" w:afterAutospacing="1"/>
      <w:textAlignment w:val="center"/>
    </w:pPr>
    <w:rPr>
      <w:rFonts w:cs="宋体"/>
      <w:b/>
      <w:bCs/>
    </w:rPr>
  </w:style>
  <w:style w:type="paragraph" w:customStyle="1" w:styleId="54">
    <w:name w:val="xl88"/>
    <w:basedOn w:val="1"/>
    <w:qFormat/>
    <w:uiPriority w:val="0"/>
    <w:pPr>
      <w:pBdr>
        <w:bottom w:val="single" w:color="000000" w:sz="4" w:space="0"/>
        <w:right w:val="single" w:color="000000" w:sz="4" w:space="0"/>
      </w:pBdr>
      <w:spacing w:before="100" w:beforeAutospacing="1" w:after="100" w:afterAutospacing="1"/>
      <w:textAlignment w:val="center"/>
    </w:pPr>
    <w:rPr>
      <w:rFonts w:cs="宋体"/>
    </w:rPr>
  </w:style>
  <w:style w:type="paragraph" w:customStyle="1" w:styleId="55">
    <w:name w:val="xl89"/>
    <w:basedOn w:val="1"/>
    <w:qFormat/>
    <w:uiPriority w:val="0"/>
    <w:pPr>
      <w:pBdr>
        <w:left w:val="single" w:color="000000" w:sz="4" w:space="0"/>
        <w:bottom w:val="single" w:color="000000" w:sz="4" w:space="0"/>
        <w:right w:val="single" w:color="000000" w:sz="4" w:space="0"/>
      </w:pBdr>
      <w:shd w:val="clear" w:color="000000" w:fill="FFFFFF"/>
      <w:spacing w:before="100" w:beforeAutospacing="1" w:after="100" w:afterAutospacing="1"/>
      <w:textAlignment w:val="center"/>
    </w:pPr>
    <w:rPr>
      <w:rFonts w:cs="宋体"/>
    </w:rPr>
  </w:style>
  <w:style w:type="paragraph" w:customStyle="1" w:styleId="56">
    <w:name w:val="xl90"/>
    <w:basedOn w:val="1"/>
    <w:qFormat/>
    <w:uiPriority w:val="0"/>
    <w:pPr>
      <w:shd w:val="clear" w:color="000000" w:fill="FFFFFF"/>
      <w:spacing w:before="100" w:beforeAutospacing="1" w:after="100" w:afterAutospacing="1"/>
      <w:textAlignment w:val="center"/>
    </w:pPr>
    <w:rPr>
      <w:rFonts w:cs="宋体"/>
    </w:rPr>
  </w:style>
  <w:style w:type="paragraph" w:customStyle="1" w:styleId="57">
    <w:name w:val="xl91"/>
    <w:basedOn w:val="1"/>
    <w:qFormat/>
    <w:uiPriority w:val="0"/>
    <w:pPr>
      <w:spacing w:before="100" w:beforeAutospacing="1" w:after="100" w:afterAutospacing="1"/>
      <w:textAlignment w:val="center"/>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635E55-DCF0-4587-A69E-A8DDE0DE37D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2073</Words>
  <Characters>11817</Characters>
  <Lines>98</Lines>
  <Paragraphs>27</Paragraphs>
  <TotalTime>4</TotalTime>
  <ScaleCrop>false</ScaleCrop>
  <LinksUpToDate>false</LinksUpToDate>
  <CharactersWithSpaces>13863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2021-08-20T00:42:00Z</dcterms:created>
  <dc:creator>xiaofei li</dc:creator>
  <cp:lastModifiedBy>WENDEY</cp:lastModifiedBy>
  <cp:lastPrinted>2021-09-09T01:55:00Z</cp:lastPrinted>
  <dcterms:modified xsi:type="dcterms:W3CDTF">2022-09-23T08:00:12Z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